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48"/>
          <w:szCs w:val="48"/>
        </w:rPr>
      </w:pPr>
      <w:r>
        <w:rPr>
          <w:rFonts w:hint="eastAsia" w:ascii="Arial" w:hAnsi="Arial" w:eastAsia="黑体"/>
          <w:b/>
          <w:bCs/>
          <w:color w:val="000000"/>
          <w:sz w:val="48"/>
          <w:szCs w:val="48"/>
        </w:rPr>
      </w:r>
      <w:r/>
    </w:p>
    <w:p>
      <w:pPr>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项目名称：</w:t>
      </w:r>
      <w:r>
        <w:rPr>
          <w:rFonts w:hint="eastAsia" w:ascii="Arial" w:hAnsi="Arial"/>
          <w:b/>
          <w:bCs/>
          <w:color w:val="000000"/>
          <w:sz w:val="32"/>
          <w:szCs w:val="24"/>
          <w:lang w:eastAsia="zh-CN"/>
        </w:rPr>
        <w:t xml:space="preserve">黎城卫生院异地新建项目医疗家具采购</w:t>
      </w:r>
      <w:r/>
    </w:p>
    <w:p>
      <w:pPr>
        <w:jc w:val="center"/>
        <w:spacing w:before="120" w:after="120" w:line="360" w:lineRule="auto"/>
        <w:rPr>
          <w:rFonts w:hint="eastAsia" w:ascii="Arial" w:hAnsi="Arial"/>
          <w:b/>
          <w:bCs/>
          <w:sz w:val="32"/>
          <w:szCs w:val="24"/>
        </w:rPr>
      </w:pPr>
      <w:r>
        <w:rPr>
          <w:rFonts w:hint="eastAsia" w:ascii="Arial" w:hAnsi="Arial"/>
          <w:b/>
          <w:bCs/>
          <w:sz w:val="32"/>
          <w:szCs w:val="24"/>
        </w:rPr>
        <w:t xml:space="preserve">项目编号：JSZC-320831-JZCG-G2025-0006</w:t>
      </w:r>
      <w:r/>
    </w:p>
    <w:p>
      <w:pPr>
        <w:ind w:left="2800" w:hanging="2800"/>
        <w:rPr>
          <w:b/>
          <w:sz w:val="28"/>
          <w:szCs w:val="28"/>
        </w:rPr>
      </w:pPr>
      <w:r>
        <w:rPr>
          <w:rFonts w:hint="eastAsia"/>
          <w:color w:val="000000"/>
          <w:sz w:val="28"/>
          <w:szCs w:val="28"/>
        </w:rPr>
        <w:t xml:space="preserve">     </w:t>
      </w:r>
      <w:r>
        <w:rPr>
          <w:rFonts w:hint="eastAsia"/>
          <w:sz w:val="28"/>
          <w:szCs w:val="28"/>
        </w:rPr>
        <w:t xml:space="preserve">  </w:t>
      </w:r>
      <w:r>
        <w:rPr>
          <w:rFonts w:hint="eastAsia"/>
          <w:b/>
          <w:sz w:val="28"/>
          <w:szCs w:val="28"/>
        </w:rPr>
        <w:t xml:space="preserve"> </w:t>
      </w:r>
      <w:r/>
    </w:p>
    <w:p>
      <w:pPr>
        <w:rPr>
          <w:rFonts w:hint="eastAsia"/>
          <w:b/>
          <w:color w:val="ff0000"/>
          <w:sz w:val="24"/>
          <w:szCs w:val="24"/>
        </w:rPr>
      </w:pPr>
      <w:r>
        <w:rPr>
          <w:rFonts w:hint="eastAsia"/>
          <w:b/>
          <w:color w:val="ff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eastAsia="zh-CN"/>
        </w:rPr>
        <w:t xml:space="preserve">采购人</w:t>
      </w:r>
      <w:r>
        <w:rPr>
          <w:rFonts w:hint="eastAsia" w:ascii="Arial" w:hAnsi="Arial"/>
          <w:b/>
          <w:bCs/>
          <w:color w:val="000000"/>
          <w:sz w:val="32"/>
          <w:szCs w:val="24"/>
        </w:rPr>
        <w:t xml:space="preserve">：金湖县人民政府黎城街道办事处</w:t>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代理机构：淮安市公共资源交易中心金湖分中心</w:t>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日期：2026年1</w:t>
      </w:r>
      <w:r>
        <w:rPr>
          <w:rFonts w:hint="eastAsia" w:ascii="Arial" w:hAnsi="Arial"/>
          <w:b/>
          <w:bCs/>
          <w:color w:val="000000"/>
          <w:sz w:val="32"/>
          <w:szCs w:val="24"/>
        </w:rPr>
        <w:t xml:space="preserve">月</w:t>
      </w:r>
      <w:r>
        <w:rPr>
          <w:rFonts w:hint="eastAsia" w:ascii="Arial" w:hAnsi="Arial"/>
          <w:b/>
          <w:bCs/>
          <w:color w:val="000000"/>
          <w:sz w:val="32"/>
          <w:szCs w:val="24"/>
          <w:lang w:val="en-US" w:eastAsia="zh-CN"/>
        </w:rPr>
        <w:t xml:space="preserve">6</w:t>
      </w:r>
      <w:r>
        <w:rPr>
          <w:rFonts w:hint="eastAsia" w:ascii="Arial" w:hAnsi="Arial"/>
          <w:b/>
          <w:bCs/>
          <w:color w:val="000000"/>
          <w:sz w:val="32"/>
          <w:szCs w:val="24"/>
        </w:rPr>
        <w:t xml:space="preserve">日</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center"/>
        <w:spacing w:line="480" w:lineRule="auto"/>
        <w:rPr>
          <w:rFonts w:hint="eastAsia" w:ascii="黑体" w:hAnsi="Arial" w:eastAsia="黑体"/>
          <w:b/>
          <w:color w:val="000000"/>
          <w:sz w:val="44"/>
          <w:szCs w:val="21"/>
        </w:rPr>
        <w:outlineLvl w:val="0"/>
      </w:pPr>
      <w:r>
        <w:rPr>
          <w:color w:val="000000"/>
          <w:szCs w:val="21"/>
        </w:rPr>
        <w:br w:type="page" w:clear="all"/>
      </w:r>
      <w:bookmarkStart w:id="0" w:name="_Toc120614210"/>
      <w:r/>
      <w:bookmarkStart w:id="1" w:name="_Toc16938516"/>
      <w:r/>
      <w:bookmarkStart w:id="2" w:name="_Toc513029200"/>
      <w:r/>
      <w:bookmarkStart w:id="3" w:name="_Toc479757206"/>
      <w:r/>
      <w:bookmarkStart w:id="4" w:name="_Toc20823272"/>
      <w:r/>
      <w:bookmarkStart w:id="5" w:name="_Toc523127445"/>
      <w:r>
        <w:rPr>
          <w:rFonts w:hint="eastAsia" w:ascii="黑体" w:hAnsi="Arial" w:eastAsia="黑体"/>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1"/>
        </w:numPr>
        <w:spacing w:line="480" w:lineRule="auto"/>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3</w:t>
      </w:r>
      <w:r/>
    </w:p>
    <w:p>
      <w:pPr>
        <w:numPr>
          <w:ilvl w:val="0"/>
          <w:numId w:val="1"/>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6</w:t>
      </w:r>
      <w:r>
        <w:rPr>
          <w:rFonts w:hint="eastAsia" w:ascii="黑体" w:hAnsi="Showcard Gothic" w:eastAsia="黑体"/>
          <w:color w:val="000000"/>
          <w:sz w:val="36"/>
          <w:szCs w:val="21"/>
        </w:rPr>
        <w:t xml:space="preserve"> </w:t>
      </w:r>
      <w:r/>
    </w:p>
    <w:p>
      <w:pPr>
        <w:numPr>
          <w:ilvl w:val="0"/>
          <w:numId w:val="1"/>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15</w:t>
      </w:r>
      <w:r/>
    </w:p>
    <w:p>
      <w:pPr>
        <w:numPr>
          <w:ilvl w:val="0"/>
          <w:numId w:val="1"/>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31</w:t>
      </w:r>
      <w:r/>
    </w:p>
    <w:p>
      <w:pPr>
        <w:numPr>
          <w:ilvl w:val="0"/>
          <w:numId w:val="1"/>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94</w:t>
      </w:r>
      <w:r/>
    </w:p>
    <w:p>
      <w:pPr>
        <w:numPr>
          <w:ilvl w:val="0"/>
          <w:numId w:val="1"/>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99</w:t>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jc w:val="center"/>
        <w:keepNext/>
        <w:rPr>
          <w:rFonts w:hint="eastAsia" w:ascii="黑体" w:eastAsia="黑体"/>
          <w:bCs/>
          <w:color w:val="000000"/>
          <w:sz w:val="44"/>
          <w:szCs w:val="44"/>
        </w:rPr>
        <w:outlineLvl w:val="0"/>
      </w:pPr>
      <w:r>
        <w:rPr>
          <w:rFonts w:hint="eastAsia" w:ascii="黑体" w:eastAsia="黑体"/>
          <w:b w:val="0"/>
          <w:bCs w:val="0"/>
          <w:color w:val="000000"/>
          <w:sz w:val="44"/>
          <w:szCs w:val="44"/>
        </w:rPr>
        <w:t xml:space="preserve">第一章  </w:t>
      </w:r>
      <w:bookmarkEnd w:id="0"/>
      <w:r>
        <w:rPr>
          <w:rFonts w:hint="eastAsia" w:ascii="黑体" w:eastAsia="黑体"/>
          <w:b w:val="0"/>
          <w:bCs w:val="0"/>
          <w:color w:val="000000"/>
          <w:sz w:val="44"/>
          <w:szCs w:val="44"/>
        </w:rPr>
        <w:t xml:space="preserve">投标邀请</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u w:val="single"/>
        </w:rPr>
        <w:t xml:space="preserve">金湖县人民政府黎城街道办事处</w:t>
      </w:r>
      <w:r>
        <w:rPr>
          <w:rFonts w:hint="eastAsia" w:ascii="宋体" w:hAnsi="宋体"/>
          <w:color w:val="000000"/>
          <w:sz w:val="24"/>
          <w:szCs w:val="24"/>
        </w:rPr>
        <w:t xml:space="preserve">的委托，</w:t>
      </w:r>
      <w:r>
        <w:rPr>
          <w:rFonts w:hint="eastAsia" w:ascii="宋体" w:hAnsi="宋体"/>
          <w:color w:val="000000"/>
          <w:sz w:val="24"/>
          <w:szCs w:val="24"/>
          <w:u w:val="single"/>
          <w:lang w:eastAsia="zh-CN"/>
        </w:rPr>
        <w:t xml:space="preserve">淮安市公共资源交易中心金湖分中心</w:t>
      </w:r>
      <w:r>
        <w:rPr>
          <w:rFonts w:hint="eastAsia" w:ascii="宋体" w:hAnsi="宋体"/>
          <w:color w:val="000000"/>
          <w:sz w:val="24"/>
          <w:szCs w:val="24"/>
        </w:rPr>
        <w:t xml:space="preserve">就</w:t>
      </w:r>
      <w:r>
        <w:rPr>
          <w:rFonts w:hint="eastAsia" w:ascii="宋体" w:hAnsi="宋体"/>
          <w:color w:val="000000"/>
          <w:sz w:val="24"/>
          <w:szCs w:val="24"/>
          <w:u w:val="single"/>
        </w:rPr>
        <w:t xml:space="preserve">黎城卫生院异地新建项目医疗家具采购（项目编号：JSZC-320831-JZCG-G2025-0006）</w:t>
      </w:r>
      <w:r>
        <w:rPr>
          <w:rFonts w:hint="eastAsia" w:ascii="宋体" w:hAnsi="宋体"/>
          <w:color w:val="000000"/>
          <w:sz w:val="24"/>
          <w:szCs w:val="24"/>
        </w:rPr>
        <w:t xml:space="preserve">进行公开招标采购，欢迎符合条件的供应商投标。</w:t>
      </w:r>
      <w:r/>
    </w:p>
    <w:p>
      <w:pPr>
        <w:ind w:firstLine="480"/>
        <w:spacing w:line="400" w:lineRule="exact"/>
        <w:rPr>
          <w:rFonts w:ascii="宋体" w:hAnsi="宋体"/>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szCs w:val="24"/>
        </w:rPr>
        <w:t xml:space="preserve">项目概况</w:t>
      </w:r>
      <w:r/>
    </w:p>
    <w:p>
      <w:pPr>
        <w:ind w:firstLine="480"/>
        <w:spacing w:line="400" w:lineRule="exact"/>
        <w:rPr>
          <w:rFonts w:ascii="宋体" w:hAnsi="宋体"/>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szCs w:val="24"/>
          <w:u w:val="single"/>
        </w:rPr>
        <w:t xml:space="preserve">黎城卫生院异地新建项目医疗家具采购</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hint="eastAsia" w:ascii="宋体" w:hAnsi="宋体"/>
          <w:color w:val="000000"/>
          <w:sz w:val="24"/>
          <w:szCs w:val="24"/>
          <w:u w:val="single"/>
          <w:lang w:val="en-US" w:eastAsia="zh-CN"/>
        </w:rPr>
        <w:t xml:space="preserve">2026</w:t>
      </w:r>
      <w:r>
        <w:rPr>
          <w:rFonts w:hint="eastAsia" w:ascii="宋体" w:hAnsi="宋体"/>
          <w:bCs/>
          <w:color w:val="000000"/>
          <w:sz w:val="24"/>
          <w:szCs w:val="24"/>
          <w:u w:val="single"/>
        </w:rPr>
        <w:t xml:space="preserve">年</w:t>
      </w:r>
      <w:r>
        <w:rPr>
          <w:rFonts w:hint="eastAsia" w:ascii="宋体" w:hAnsi="宋体"/>
          <w:bCs/>
          <w:color w:val="000000"/>
          <w:sz w:val="24"/>
          <w:szCs w:val="24"/>
          <w:u w:val="single"/>
          <w:lang w:val="en-US" w:eastAsia="zh-CN"/>
        </w:rPr>
        <w:t xml:space="preserve">1</w:t>
      </w:r>
      <w:r>
        <w:rPr>
          <w:rFonts w:hint="eastAsia" w:ascii="宋体" w:hAnsi="宋体"/>
          <w:bCs/>
          <w:color w:val="000000"/>
          <w:sz w:val="24"/>
          <w:szCs w:val="24"/>
          <w:u w:val="single"/>
        </w:rPr>
        <w:t xml:space="preserve">月</w:t>
      </w:r>
      <w:r>
        <w:rPr>
          <w:rFonts w:hint="eastAsia" w:ascii="宋体" w:hAnsi="宋体"/>
          <w:bCs/>
          <w:color w:val="000000"/>
          <w:sz w:val="24"/>
          <w:szCs w:val="24"/>
          <w:u w:val="single"/>
          <w:lang w:val="en-US" w:eastAsia="zh-CN"/>
        </w:rPr>
        <w:t xml:space="preserve">29</w:t>
      </w:r>
      <w:r>
        <w:rPr>
          <w:rFonts w:hint="eastAsia" w:ascii="宋体" w:hAnsi="宋体"/>
          <w:bCs/>
          <w:color w:val="000000"/>
          <w:sz w:val="24"/>
          <w:szCs w:val="24"/>
          <w:u w:val="single"/>
        </w:rPr>
        <w:t xml:space="preserve">日</w:t>
      </w:r>
      <w:r>
        <w:rPr>
          <w:rFonts w:hint="eastAsia" w:ascii="宋体" w:hAnsi="宋体"/>
          <w:bCs/>
          <w:color w:val="000000"/>
          <w:sz w:val="24"/>
          <w:szCs w:val="24"/>
          <w:u w:val="single"/>
          <w:lang w:val="en-US" w:eastAsia="zh-CN"/>
        </w:rPr>
        <w:t xml:space="preserve">9</w:t>
      </w:r>
      <w:r>
        <w:rPr>
          <w:rFonts w:hint="eastAsia" w:ascii="宋体" w:hAnsi="宋体"/>
          <w:bCs/>
          <w:color w:val="000000"/>
          <w:sz w:val="24"/>
          <w:szCs w:val="24"/>
          <w:u w:val="single"/>
        </w:rPr>
        <w:t xml:space="preserve">点</w:t>
      </w:r>
      <w:r>
        <w:rPr>
          <w:rFonts w:hint="eastAsia" w:ascii="宋体" w:hAnsi="宋体"/>
          <w:bCs/>
          <w:color w:val="000000"/>
          <w:sz w:val="24"/>
          <w:szCs w:val="24"/>
          <w:u w:val="single"/>
          <w:lang w:val="en-US" w:eastAsia="zh-CN"/>
        </w:rPr>
        <w:t xml:space="preserve">00</w:t>
      </w:r>
      <w:r>
        <w:rPr>
          <w:rFonts w:hint="eastAsia" w:ascii="宋体" w:hAnsi="宋体"/>
          <w:bCs/>
          <w:color w:val="000000"/>
          <w:sz w:val="24"/>
          <w:szCs w:val="24"/>
          <w:u w:val="single"/>
        </w:rPr>
        <w:t xml:space="preserve">分（北京时间）</w:t>
      </w:r>
      <w:r>
        <w:rPr>
          <w:rFonts w:hint="eastAsia" w:ascii="宋体" w:hAnsi="宋体"/>
          <w:bCs/>
          <w:color w:val="000000"/>
          <w:sz w:val="24"/>
          <w:szCs w:val="24"/>
        </w:rPr>
        <w:t xml:space="preserve">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ind w:firstLine="496"/>
        <w:keepLines/>
        <w:keepNext/>
        <w:spacing w:before="156" w:after="156" w:line="400" w:lineRule="exact"/>
        <w:rPr>
          <w:b/>
          <w:bCs/>
          <w:color w:val="000000"/>
          <w:sz w:val="32"/>
          <w:szCs w:val="32"/>
        </w:rPr>
        <w:outlineLvl w:val="2"/>
      </w:pPr>
      <w:r/>
      <w:bookmarkStart w:id="6" w:name="_Toc28359079"/>
      <w:r/>
      <w:bookmarkStart w:id="7" w:name="_Toc35393790"/>
      <w:r/>
      <w:bookmarkStart w:id="8" w:name="_Toc35393621"/>
      <w:r/>
      <w:bookmarkStart w:id="9" w:name="_Toc38985263"/>
      <w:r/>
      <w:bookmarkStart w:id="10" w:name="_Toc28359002"/>
      <w:r/>
      <w:bookmarkStart w:id="11" w:name="_Hlk24379207"/>
      <w:r>
        <w:rPr>
          <w:rFonts w:hint="eastAsia"/>
          <w:b/>
          <w:bCs/>
          <w:color w:val="000000"/>
          <w:sz w:val="32"/>
          <w:szCs w:val="32"/>
        </w:rPr>
        <w:t xml:space="preserve">一、项目基本情况</w:t>
      </w:r>
      <w:bookmarkEnd w:id="6"/>
      <w:r/>
      <w:bookmarkEnd w:id="7"/>
      <w:r/>
      <w:bookmarkEnd w:id="8"/>
      <w:r/>
      <w:bookmarkEnd w:id="9"/>
      <w:r/>
      <w:bookmarkEnd w:id="10"/>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1.项目编号：JSZC-320831-JZCG-G2025-0006</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2.项目名称：黎城卫生院异地新建项目医疗家具采购</w:t>
      </w:r>
      <w:bookmarkEnd w:id="11"/>
      <w:r/>
      <w:r/>
    </w:p>
    <w:p>
      <w:pPr>
        <w:ind w:firstLine="480"/>
        <w:spacing w:line="400" w:lineRule="exact"/>
        <w:rPr>
          <w:rFonts w:ascii="宋体" w:hAnsi="宋体"/>
          <w:sz w:val="24"/>
          <w:szCs w:val="24"/>
        </w:rPr>
      </w:pPr>
      <w:r>
        <w:rPr>
          <w:rFonts w:hint="eastAsia" w:ascii="宋体" w:hAnsi="宋体"/>
          <w:sz w:val="24"/>
          <w:szCs w:val="24"/>
        </w:rPr>
        <w:t xml:space="preserve">3.预算金额</w:t>
      </w:r>
      <w:r/>
    </w:p>
    <w:tbl>
      <w:tblPr>
        <w:tblStyle w:val="893"/>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p>
          <w:p>
            <w:pPr>
              <w:jc w:val="center"/>
              <w:spacing w:line="0" w:lineRule="atLeast"/>
              <w:rPr>
                <w:rFonts w:hint="eastAsia" w:ascii="宋体" w:hAnsi="宋体"/>
                <w:sz w:val="24"/>
                <w:szCs w:val="24"/>
              </w:rPr>
            </w:pPr>
            <w:r>
              <w:rPr>
                <w:rFonts w:hint="eastAsia" w:ascii="宋体" w:hAnsi="宋体"/>
                <w:sz w:val="24"/>
                <w:szCs w:val="24"/>
              </w:rPr>
              <w:t xml:space="preserve">包号</w:t>
            </w:r>
            <w:r/>
          </w:p>
        </w:tc>
        <w:tc>
          <w:tcPr>
            <w:tcW w:w="2800"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2800" w:type="dxa"/>
            <w:vAlign w:val="top"/>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sz w:val="24"/>
                <w:szCs w:val="24"/>
                <w:lang w:val="en-US" w:eastAsia="zh-CN"/>
              </w:rPr>
              <w:t xml:space="preserve">380</w:t>
            </w:r>
            <w:r/>
          </w:p>
        </w:tc>
      </w:tr>
    </w:tbl>
    <w:p>
      <w:pPr>
        <w:ind w:firstLine="480"/>
        <w:spacing w:line="40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p>
    <w:tbl>
      <w:tblPr>
        <w:tblStyle w:val="893"/>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p>
          <w:p>
            <w:pPr>
              <w:jc w:val="center"/>
              <w:spacing w:line="0" w:lineRule="atLeast"/>
              <w:rPr>
                <w:rFonts w:hint="eastAsia" w:ascii="宋体" w:hAnsi="宋体"/>
                <w:sz w:val="24"/>
                <w:szCs w:val="24"/>
              </w:rPr>
            </w:pPr>
            <w:r>
              <w:rPr>
                <w:rFonts w:hint="eastAsia" w:ascii="宋体" w:hAnsi="宋体"/>
                <w:sz w:val="24"/>
                <w:szCs w:val="24"/>
              </w:rPr>
              <w:t xml:space="preserve">包号</w:t>
            </w:r>
            <w:r/>
          </w:p>
        </w:tc>
        <w:tc>
          <w:tcPr>
            <w:tcW w:w="2800"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是否</w:t>
            </w:r>
            <w:r>
              <w:rPr>
                <w:rFonts w:ascii="宋体" w:hAnsi="宋体"/>
                <w:sz w:val="24"/>
                <w:szCs w:val="24"/>
              </w:rPr>
              <w:t xml:space="preserve">设定最高</w:t>
            </w:r>
            <w:r>
              <w:rPr>
                <w:rFonts w:hint="eastAsia" w:ascii="宋体" w:hAnsi="宋体"/>
                <w:sz w:val="24"/>
                <w:szCs w:val="24"/>
              </w:rPr>
              <w:t xml:space="preserve">限价</w:t>
            </w:r>
            <w:r/>
          </w:p>
          <w:p>
            <w:pPr>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3135"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最高</w:t>
            </w:r>
            <w:r>
              <w:rPr>
                <w:rFonts w:ascii="宋体" w:hAnsi="宋体"/>
                <w:sz w:val="24"/>
                <w:szCs w:val="24"/>
              </w:rPr>
              <w:t xml:space="preserve">限价</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2800"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是</w:t>
            </w:r>
            <w:r/>
          </w:p>
        </w:tc>
        <w:tc>
          <w:tcPr>
            <w:tcW w:w="3135" w:type="dxa"/>
            <w:vAlign w:val="top"/>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sz w:val="24"/>
                <w:szCs w:val="24"/>
                <w:lang w:val="en-US" w:eastAsia="zh-CN"/>
              </w:rPr>
              <w:t xml:space="preserve">306</w:t>
            </w:r>
            <w:r/>
          </w:p>
        </w:tc>
      </w:tr>
    </w:tbl>
    <w:p>
      <w:pPr>
        <w:numPr>
          <w:ilvl w:val="0"/>
          <w:numId w:val="0"/>
        </w:numPr>
        <w:ind w:firstLine="480"/>
        <w:keepLines w:val="0"/>
        <w:keepNext w:val="0"/>
        <w:pageBreakBefore w:val="0"/>
        <w:spacing w:line="400" w:lineRule="exact"/>
        <w:widowControl w:val="off"/>
        <w:rPr>
          <w:rFonts w:ascii="宋体" w:hAnsi="宋体"/>
          <w:color w:val="000000"/>
          <w:sz w:val="24"/>
          <w:szCs w:val="24"/>
          <w:u w:val="single"/>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采购需求(简介)：该项目包含行政办公、会议室办公家具及诊疗室、医技科室、预防接种、门诊输液室、病区护理、治疗处置医用家具和病床等。项目建成后达到一级乡镇卫生院建设标准，基本满足县城城区及周边地区群众的基本医疗和公共卫生服务需求</w:t>
      </w:r>
      <w:r>
        <w:rPr>
          <w:rFonts w:hint="eastAsia" w:ascii="宋体" w:hAnsi="宋体"/>
          <w:color w:val="000000"/>
          <w:sz w:val="24"/>
          <w:szCs w:val="24"/>
          <w:lang w:eastAsia="zh-CN"/>
        </w:rPr>
        <w:t xml:space="preserve">。</w:t>
      </w:r>
      <w:r>
        <w:rPr>
          <w:rFonts w:hint="eastAsia" w:ascii="宋体" w:hAnsi="宋体" w:cs="宋体"/>
          <w:color w:val="000000"/>
          <w:sz w:val="24"/>
          <w:szCs w:val="24"/>
        </w:rPr>
        <w:t xml:space="preserve">（详细内容见本招标文件第四章）</w:t>
      </w:r>
      <w:r/>
    </w:p>
    <w:p>
      <w:pPr>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6.合同履行期限：合同签订后10日内供货安装调试到位。</w:t>
      </w:r>
      <w:r/>
    </w:p>
    <w:p>
      <w:pPr>
        <w:ind w:firstLine="496"/>
        <w:keepLines/>
        <w:keepNext/>
        <w:spacing w:before="156" w:after="156" w:line="360" w:lineRule="auto"/>
        <w:rPr>
          <w:b/>
          <w:bCs/>
          <w:color w:val="000000"/>
          <w:sz w:val="32"/>
          <w:szCs w:val="32"/>
        </w:rPr>
        <w:outlineLvl w:val="2"/>
      </w:pPr>
      <w:r/>
      <w:bookmarkStart w:id="12" w:name="_Toc28359003"/>
      <w:r/>
      <w:bookmarkStart w:id="13" w:name="_Toc35393791"/>
      <w:r/>
      <w:bookmarkStart w:id="14" w:name="_Toc28359080"/>
      <w:r/>
      <w:bookmarkStart w:id="15" w:name="_Toc38985264"/>
      <w:r/>
      <w:bookmarkStart w:id="16" w:name="_Toc35393622"/>
      <w:r>
        <w:rPr>
          <w:rFonts w:hint="eastAsia"/>
          <w:b/>
          <w:bCs/>
          <w:color w:val="000000"/>
          <w:sz w:val="32"/>
          <w:szCs w:val="32"/>
        </w:rPr>
        <w:t xml:space="preserve">二、申请人的资格要求</w:t>
      </w:r>
      <w:bookmarkEnd w:id="12"/>
      <w:r/>
      <w:bookmarkEnd w:id="13"/>
      <w:r/>
      <w:bookmarkEnd w:id="14"/>
      <w:r/>
      <w:bookmarkEnd w:id="15"/>
      <w:r/>
      <w:bookmarkEnd w:id="16"/>
      <w:r/>
      <w:r/>
    </w:p>
    <w:p>
      <w:pPr>
        <w:ind w:firstLine="560"/>
        <w:spacing w:line="400" w:lineRule="exact"/>
        <w:rPr>
          <w:rFonts w:hint="eastAsia" w:ascii="宋体" w:hAnsi="宋体"/>
          <w:color w:val="000000"/>
          <w:sz w:val="28"/>
          <w:szCs w:val="28"/>
        </w:rPr>
      </w:pPr>
      <w:r/>
      <w:bookmarkStart w:id="17" w:name="_Toc35393792"/>
      <w:r/>
      <w:bookmarkStart w:id="18" w:name="_Toc35393623"/>
      <w:r/>
      <w:bookmarkStart w:id="19" w:name="_Toc38985265"/>
      <w:r/>
      <w:bookmarkStart w:id="20" w:name="_Toc28359081"/>
      <w:r/>
      <w:bookmarkStart w:id="21" w:name="_Toc28359004"/>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p>
    <w:p>
      <w:pPr>
        <w:ind w:firstLine="480"/>
        <w:spacing w:line="400" w:lineRule="exact"/>
        <w:rPr>
          <w:rFonts w:hint="eastAsia" w:ascii="宋体" w:hAnsi="宋体"/>
          <w:color w:val="000000"/>
          <w:sz w:val="24"/>
          <w:szCs w:val="24"/>
          <w:lang w:eastAsia="zh-CN"/>
        </w:rPr>
      </w:pPr>
      <w:r>
        <w:rPr>
          <w:rFonts w:hint="eastAsia" w:ascii="宋体" w:hAnsi="宋体"/>
          <w:color w:val="000000"/>
          <w:sz w:val="24"/>
          <w:szCs w:val="24"/>
        </w:rPr>
        <w:t xml:space="preserve">1.符合《中华人民共和国政府采购法》第二十二条规定的六项条件</w:t>
      </w:r>
      <w:r>
        <w:rPr>
          <w:rFonts w:hint="eastAsia" w:ascii="宋体" w:hAnsi="宋体"/>
          <w:color w:val="000000"/>
          <w:sz w:val="24"/>
          <w:szCs w:val="24"/>
          <w:lang w:eastAsia="zh-CN"/>
        </w:rPr>
        <w:t xml:space="preserve">；</w:t>
      </w:r>
      <w:r/>
    </w:p>
    <w:p>
      <w:pPr>
        <w:ind w:firstLine="480"/>
        <w:spacing w:line="400" w:lineRule="exact"/>
        <w:rPr>
          <w:rFonts w:hint="eastAsia" w:ascii="宋体" w:hAnsi="宋体"/>
          <w:color w:val="000000"/>
          <w:sz w:val="24"/>
          <w:szCs w:val="24"/>
          <w:lang w:eastAsia="zh-CN"/>
        </w:rPr>
      </w:pPr>
      <w:r>
        <w:rPr>
          <w:rFonts w:hint="eastAsia" w:ascii="宋体" w:hAnsi="宋体"/>
          <w:color w:val="000000"/>
          <w:sz w:val="24"/>
          <w:szCs w:val="24"/>
          <w:lang w:val="en-US" w:eastAsia="zh-CN"/>
        </w:rPr>
        <w:t xml:space="preserve">2.</w:t>
      </w:r>
      <w:r>
        <w:rPr>
          <w:rFonts w:hint="eastAsia" w:ascii="宋体" w:hAnsi="宋体"/>
          <w:color w:val="000000"/>
          <w:sz w:val="24"/>
          <w:szCs w:val="24"/>
          <w:lang w:eastAsia="zh-CN"/>
        </w:rPr>
        <w:t xml:space="preserve">拒绝符合下述条件的供应商参加本次采购活动：</w:t>
      </w:r>
      <w:r/>
    </w:p>
    <w:p>
      <w:pPr>
        <w:ind w:firstLine="480"/>
        <w:spacing w:line="400" w:lineRule="exact"/>
        <w:rPr>
          <w:rFonts w:hint="eastAsia" w:ascii="宋体" w:hAnsi="宋体"/>
          <w:color w:val="000000"/>
          <w:sz w:val="24"/>
          <w:szCs w:val="24"/>
          <w:lang w:eastAsia="zh-CN"/>
        </w:rPr>
      </w:pP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1</w:t>
      </w:r>
      <w:r>
        <w:rPr>
          <w:rFonts w:hint="eastAsia" w:ascii="宋体" w:hAnsi="宋体"/>
          <w:color w:val="000000"/>
          <w:sz w:val="24"/>
          <w:szCs w:val="24"/>
          <w:lang w:eastAsia="zh-CN"/>
        </w:rPr>
        <w:t xml:space="preserve">）供应商单位负责人为同一人或者存在直接控股、管理关系的不同供应商，不得同时参加同一合同项下的政府采购活动；</w:t>
      </w:r>
      <w:r/>
    </w:p>
    <w:p>
      <w:pPr>
        <w:ind w:firstLine="480"/>
        <w:spacing w:line="400" w:lineRule="exact"/>
        <w:rPr>
          <w:rFonts w:hint="eastAsia" w:ascii="宋体" w:hAnsi="宋体"/>
          <w:color w:val="000000"/>
          <w:sz w:val="24"/>
          <w:szCs w:val="24"/>
          <w:lang w:eastAsia="zh-CN"/>
        </w:rPr>
      </w:pP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2</w:t>
      </w:r>
      <w:r>
        <w:rPr>
          <w:rFonts w:hint="eastAsia" w:ascii="宋体" w:hAnsi="宋体"/>
          <w:color w:val="000000"/>
          <w:sz w:val="24"/>
          <w:szCs w:val="24"/>
          <w:lang w:eastAsia="zh-CN"/>
        </w:rPr>
        <w:t xml:space="preserve">）凡为采购项目提供整体设计、规范编制或者项目管理、监理、检测等服务的供应商，不得再参加本项目的采购活动； </w:t>
      </w:r>
      <w:r/>
    </w:p>
    <w:p>
      <w:pPr>
        <w:ind w:firstLine="480"/>
        <w:spacing w:line="400" w:lineRule="exact"/>
        <w:rPr>
          <w:rFonts w:hint="eastAsia" w:ascii="宋体" w:hAnsi="宋体"/>
          <w:color w:val="000000"/>
          <w:sz w:val="24"/>
          <w:szCs w:val="24"/>
          <w:lang w:eastAsia="zh-CN"/>
        </w:rPr>
      </w:pP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3</w:t>
      </w:r>
      <w:r>
        <w:rPr>
          <w:rFonts w:hint="eastAsia" w:ascii="宋体" w:hAnsi="宋体"/>
          <w:color w:val="000000"/>
          <w:sz w:val="24"/>
          <w:szCs w:val="24"/>
          <w:lang w:eastAsia="zh-CN"/>
        </w:rPr>
        <w:t xml:space="preserve">）列入失信被执行人、重大税收违法案件当事人名单、政府采购严重违法失信行为记录名单中的供应商不得参加本项目的采购活动。</w:t>
      </w:r>
      <w:r/>
    </w:p>
    <w:p>
      <w:pPr>
        <w:ind w:firstLine="480"/>
        <w:spacing w:line="400" w:lineRule="exact"/>
        <w:rPr>
          <w:rFonts w:hint="eastAsia" w:ascii="宋体" w:hAnsi="宋体"/>
          <w:color w:val="000000"/>
          <w:sz w:val="24"/>
          <w:szCs w:val="24"/>
          <w:lang w:eastAsia="zh-CN"/>
        </w:rPr>
      </w:pPr>
      <w:r>
        <w:rPr>
          <w:rFonts w:hint="eastAsia" w:ascii="宋体" w:hAnsi="宋体"/>
          <w:color w:val="000000"/>
          <w:sz w:val="24"/>
          <w:szCs w:val="24"/>
          <w:lang w:val="en-US" w:eastAsia="zh-CN"/>
        </w:rPr>
        <w:t xml:space="preserve">3.</w:t>
      </w:r>
      <w:r>
        <w:rPr>
          <w:rFonts w:hint="eastAsia" w:ascii="宋体" w:hAnsi="宋体"/>
          <w:color w:val="000000"/>
          <w:sz w:val="24"/>
          <w:szCs w:val="24"/>
          <w:lang w:eastAsia="zh-CN"/>
        </w:rPr>
        <w:t xml:space="preserve">供应商提供下列之一</w:t>
      </w:r>
      <w:r/>
    </w:p>
    <w:p>
      <w:pPr>
        <w:ind w:firstLine="480"/>
        <w:spacing w:line="400" w:lineRule="exact"/>
        <w:rPr>
          <w:rFonts w:hint="eastAsia" w:ascii="宋体" w:hAnsi="宋体"/>
          <w:color w:val="000000"/>
          <w:sz w:val="24"/>
          <w:szCs w:val="24"/>
          <w:lang w:eastAsia="zh-CN"/>
        </w:rPr>
      </w:pP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1</w:t>
      </w:r>
      <w:r>
        <w:rPr>
          <w:rFonts w:hint="eastAsia" w:ascii="宋体" w:hAnsi="宋体"/>
          <w:color w:val="000000"/>
          <w:sz w:val="24"/>
          <w:szCs w:val="24"/>
          <w:lang w:eastAsia="zh-CN"/>
        </w:rPr>
        <w:t xml:space="preserve">）供应商法定代表人参加投标的，提供法定代表人资格证明（按照示范格式要求）和法定代表人身份证。</w:t>
      </w:r>
      <w:r/>
    </w:p>
    <w:p>
      <w:pPr>
        <w:ind w:firstLine="480"/>
        <w:spacing w:line="400" w:lineRule="exact"/>
        <w:rPr>
          <w:rFonts w:hint="eastAsia" w:ascii="宋体" w:hAnsi="宋体" w:eastAsia="宋体"/>
          <w:color w:val="000000"/>
          <w:sz w:val="24"/>
          <w:szCs w:val="24"/>
          <w:lang w:eastAsia="zh-CN"/>
        </w:rPr>
      </w:pP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2</w:t>
      </w:r>
      <w:r>
        <w:rPr>
          <w:rFonts w:hint="eastAsia" w:ascii="宋体" w:hAnsi="宋体"/>
          <w:color w:val="000000"/>
          <w:sz w:val="24"/>
          <w:szCs w:val="24"/>
          <w:lang w:eastAsia="zh-CN"/>
        </w:rPr>
        <w:t xml:space="preserve">）供应商授权委托人参加投标的，提供</w:t>
      </w:r>
      <w:r>
        <w:rPr>
          <w:rFonts w:hint="eastAsia" w:ascii="宋体" w:hAnsi="宋体"/>
          <w:color w:val="000000"/>
          <w:sz w:val="24"/>
          <w:szCs w:val="24"/>
          <w:lang w:val="en-US" w:eastAsia="zh-CN"/>
        </w:rPr>
        <w:t xml:space="preserve">法人</w:t>
      </w:r>
      <w:r>
        <w:rPr>
          <w:rFonts w:hint="eastAsia" w:ascii="宋体" w:hAnsi="宋体"/>
          <w:color w:val="000000"/>
          <w:sz w:val="24"/>
          <w:szCs w:val="24"/>
          <w:lang w:eastAsia="zh-CN"/>
        </w:rPr>
        <w:t xml:space="preserve">授权书（按照示范格式要求）和受托人身份证。</w:t>
      </w:r>
      <w:r/>
    </w:p>
    <w:p>
      <w:pPr>
        <w:ind w:firstLine="480"/>
        <w:spacing w:line="400" w:lineRule="exact"/>
        <w:rPr>
          <w:rFonts w:ascii="宋体" w:hAnsi="宋体" w:cs="宋体"/>
          <w:sz w:val="24"/>
          <w:szCs w:val="24"/>
        </w:rPr>
      </w:pPr>
      <w:r>
        <w:rPr>
          <w:rFonts w:hint="eastAsia" w:ascii="宋体" w:hAnsi="宋体"/>
          <w:sz w:val="24"/>
          <w:szCs w:val="24"/>
          <w:lang w:val="en-US" w:eastAsia="zh-CN"/>
        </w:rPr>
        <w:t xml:space="preserve">4.</w:t>
      </w:r>
      <w:r>
        <w:rPr>
          <w:rFonts w:hint="eastAsia" w:ascii="宋体" w:hAnsi="宋体"/>
          <w:sz w:val="24"/>
          <w:szCs w:val="24"/>
        </w:rPr>
        <w:t xml:space="preserve">落实政府采购政策需满足的资格要求：本项目</w:t>
      </w:r>
      <w:r>
        <w:rPr>
          <w:rFonts w:hint="eastAsia" w:ascii="宋体" w:hAnsi="宋体" w:cs="宋体"/>
          <w:sz w:val="24"/>
          <w:szCs w:val="24"/>
        </w:rPr>
        <w:t xml:space="preserve">采购包</w:t>
      </w:r>
      <w:r>
        <w:rPr>
          <w:rFonts w:hint="eastAsia" w:ascii="宋体" w:hAnsi="宋体"/>
          <w:sz w:val="24"/>
          <w:szCs w:val="24"/>
          <w:u w:val="single"/>
          <w:lang w:val="en-US" w:eastAsia="zh-CN"/>
        </w:rPr>
        <w:t xml:space="preserve">1</w:t>
      </w:r>
      <w:r>
        <w:rPr>
          <w:rFonts w:hint="eastAsia" w:ascii="宋体" w:hAnsi="宋体"/>
          <w:sz w:val="24"/>
          <w:szCs w:val="24"/>
        </w:rPr>
        <w:t xml:space="preserve">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5.</w:t>
      </w:r>
      <w:r>
        <w:rPr>
          <w:rFonts w:hint="eastAsia" w:ascii="宋体" w:hAnsi="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360" w:lineRule="auto"/>
        <w:rPr>
          <w:rFonts w:ascii="宋体" w:hAnsi="宋体"/>
          <w:sz w:val="24"/>
          <w:szCs w:val="24"/>
        </w:rPr>
      </w:pPr>
      <w:r>
        <w:rPr>
          <w:rFonts w:hint="eastAsia" w:ascii="宋体" w:hAnsi="宋体"/>
          <w:sz w:val="24"/>
          <w:szCs w:val="24"/>
          <w:lang w:val="en-US" w:eastAsia="zh-CN"/>
        </w:rPr>
        <w:t xml:space="preserve">6.</w:t>
      </w:r>
      <w:r>
        <w:rPr>
          <w:rFonts w:hint="eastAsia" w:ascii="宋体" w:hAnsi="宋体"/>
          <w:sz w:val="24"/>
          <w:szCs w:val="24"/>
        </w:rPr>
        <w:t xml:space="preserve">联合</w:t>
      </w:r>
      <w:r>
        <w:rPr>
          <w:rFonts w:ascii="宋体" w:hAnsi="宋体"/>
          <w:sz w:val="24"/>
          <w:szCs w:val="24"/>
        </w:rPr>
        <w:t xml:space="preserve">体投标</w:t>
      </w:r>
      <w:r/>
    </w:p>
    <w:tbl>
      <w:tblPr>
        <w:tblStyle w:val="893"/>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hint="eastAsia" w:ascii="宋体" w:hAnsi="宋体"/>
                <w:sz w:val="24"/>
                <w:szCs w:val="24"/>
              </w:rPr>
            </w:pPr>
            <w:r>
              <w:rPr>
                <w:rFonts w:hint="eastAsia" w:ascii="宋体" w:hAnsi="宋体"/>
                <w:sz w:val="24"/>
                <w:szCs w:val="24"/>
              </w:rPr>
              <w:t xml:space="preserve">包号</w:t>
            </w:r>
            <w:r/>
          </w:p>
        </w:tc>
        <w:tc>
          <w:tcPr>
            <w:tcW w:w="296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p>
          <w:p>
            <w:pPr>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296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p>
        </w:tc>
      </w:tr>
      <w:tr>
        <w:trPr/>
        <w:tc>
          <w:tcPr>
            <w:tcW w:w="114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2968" w:type="dxa"/>
            <w:vAlign w:val="top"/>
            <w:textDirection w:val="lrTb"/>
            <w:noWrap w:val="false"/>
          </w:tcPr>
          <w:p>
            <w:pPr>
              <w:jc w:val="center"/>
              <w:spacing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否</w:t>
            </w:r>
            <w:r/>
          </w:p>
        </w:tc>
        <w:tc>
          <w:tcPr>
            <w:tcW w:w="2967" w:type="dxa"/>
            <w:vAlign w:val="top"/>
            <w:textDirection w:val="lrTb"/>
            <w:noWrap w:val="false"/>
          </w:tcPr>
          <w:p>
            <w:pPr>
              <w:jc w:val="center"/>
              <w:spacing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w:t>
            </w:r>
            <w:r/>
          </w:p>
        </w:tc>
      </w:tr>
    </w:tbl>
    <w:p>
      <w:pPr>
        <w:ind w:firstLine="560"/>
        <w:spacing w:line="400" w:lineRule="exact"/>
        <w:rPr>
          <w:rFonts w:ascii="宋体" w:hAnsi="宋体"/>
          <w:color w:val="000000"/>
          <w:sz w:val="28"/>
          <w:szCs w:val="28"/>
        </w:rPr>
      </w:pPr>
      <w:r>
        <w:rPr>
          <w:rFonts w:hint="eastAsia" w:ascii="宋体" w:hAnsi="宋体"/>
          <w:color w:val="000000"/>
          <w:sz w:val="28"/>
          <w:szCs w:val="28"/>
        </w:rPr>
        <w:t xml:space="preserve">（二）本项目的特定资格要求</w:t>
      </w:r>
      <w:r/>
    </w:p>
    <w:tbl>
      <w:tblPr>
        <w:tblStyle w:val="893"/>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hint="eastAsia" w:ascii="宋体" w:hAnsi="宋体"/>
                <w:sz w:val="24"/>
                <w:szCs w:val="24"/>
              </w:rPr>
            </w:pPr>
            <w:r>
              <w:rPr>
                <w:rFonts w:hint="eastAsia" w:ascii="宋体" w:hAnsi="宋体"/>
                <w:sz w:val="24"/>
                <w:szCs w:val="24"/>
              </w:rPr>
              <w:t xml:space="preserve">包号</w:t>
            </w:r>
            <w:r/>
          </w:p>
        </w:tc>
        <w:tc>
          <w:tcPr>
            <w:tcW w:w="592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p>
        </w:tc>
      </w:tr>
      <w:tr>
        <w:trPr/>
        <w:tc>
          <w:tcPr>
            <w:tcW w:w="114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5921" w:type="dxa"/>
            <w:vAlign w:val="top"/>
            <w:textDirection w:val="lrTb"/>
            <w:noWrap w:val="false"/>
          </w:tcPr>
          <w:p>
            <w:pPr>
              <w:jc w:val="center"/>
              <w:spacing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无</w:t>
            </w:r>
            <w:r/>
          </w:p>
        </w:tc>
      </w:tr>
    </w:tbl>
    <w:p>
      <w:pPr>
        <w:ind w:firstLine="372"/>
        <w:keepLines/>
        <w:keepNext/>
        <w:spacing w:before="156" w:after="156" w:line="360" w:lineRule="auto"/>
        <w:rPr>
          <w:rFonts w:hint="eastAsia" w:eastAsia="宋体"/>
          <w:b/>
          <w:bCs/>
          <w:color w:val="000000"/>
          <w:sz w:val="32"/>
          <w:szCs w:val="32"/>
          <w:lang w:eastAsia="zh-CN"/>
        </w:rPr>
        <w:outlineLvl w:val="2"/>
      </w:pPr>
      <w:r>
        <w:rPr>
          <w:rFonts w:hint="eastAsia"/>
          <w:b/>
          <w:bCs/>
          <w:color w:val="000000"/>
          <w:sz w:val="24"/>
          <w:szCs w:val="24"/>
        </w:rPr>
        <w:t xml:space="preserve">投标人资格要求以招标文件第六章第二条“资格审查内容”要求提交的资格证明文件为准</w:t>
      </w:r>
      <w:r>
        <w:rPr>
          <w:rFonts w:hint="eastAsia"/>
          <w:b/>
          <w:bCs/>
          <w:color w:val="000000"/>
          <w:sz w:val="24"/>
          <w:szCs w:val="24"/>
          <w:lang w:eastAsia="zh-CN"/>
        </w:rPr>
        <w:t xml:space="preserve">。</w:t>
      </w:r>
      <w:r/>
    </w:p>
    <w:p>
      <w:pPr>
        <w:ind w:firstLine="496"/>
        <w:keepLines/>
        <w:keepNext/>
        <w:spacing w:before="156" w:after="156"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bookmarkEnd w:id="17"/>
      <w:r/>
      <w:bookmarkEnd w:id="18"/>
      <w:r/>
      <w:bookmarkEnd w:id="19"/>
      <w:r/>
      <w:bookmarkEnd w:id="20"/>
      <w:r/>
      <w:bookmarkEnd w:id="21"/>
      <w:r/>
      <w:r/>
    </w:p>
    <w:p>
      <w:pPr>
        <w:ind w:firstLine="496"/>
        <w:keepLines/>
        <w:keepNext/>
        <w:spacing w:before="156" w:after="156" w:line="400" w:lineRule="exact"/>
        <w:rPr>
          <w:b/>
          <w:bCs/>
          <w:color w:val="000000"/>
          <w:sz w:val="32"/>
          <w:szCs w:val="32"/>
        </w:rPr>
        <w:outlineLvl w:val="2"/>
      </w:pPr>
      <w:r/>
      <w:bookmarkStart w:id="22" w:name="_Toc28359082"/>
      <w:r/>
      <w:bookmarkStart w:id="23" w:name="_Toc28359005"/>
      <w:r/>
      <w:bookmarkStart w:id="24" w:name="_Toc38985266"/>
      <w:r/>
      <w:bookmarkStart w:id="25" w:name="_Toc35393793"/>
      <w:r/>
      <w:bookmarkStart w:id="26" w:name="_Toc35393624"/>
      <w:r>
        <w:rPr>
          <w:rFonts w:hint="eastAsia"/>
          <w:b/>
          <w:bCs/>
          <w:color w:val="000000"/>
          <w:sz w:val="32"/>
          <w:szCs w:val="32"/>
        </w:rPr>
        <w:t xml:space="preserve">四、提交投标文件</w:t>
      </w:r>
      <w:bookmarkEnd w:id="22"/>
      <w:r/>
      <w:bookmarkEnd w:id="23"/>
      <w:r>
        <w:rPr>
          <w:rFonts w:hint="eastAsia"/>
          <w:b/>
          <w:bCs/>
          <w:color w:val="000000"/>
          <w:sz w:val="32"/>
          <w:szCs w:val="32"/>
        </w:rPr>
        <w:t xml:space="preserve">截止时间、开标时间和地点</w:t>
      </w:r>
      <w:bookmarkEnd w:id="24"/>
      <w:r/>
      <w:bookmarkEnd w:id="25"/>
      <w:r/>
      <w:bookmarkEnd w:id="26"/>
      <w:r/>
      <w:r/>
    </w:p>
    <w:p>
      <w:pPr>
        <w:ind w:firstLine="480"/>
        <w:spacing w:line="400" w:lineRule="exact"/>
        <w:rPr>
          <w:rFonts w:ascii="宋体" w:hAnsi="宋体"/>
          <w:bCs/>
          <w:color w:val="000000"/>
          <w:sz w:val="24"/>
          <w:szCs w:val="24"/>
          <w:u w:val="single"/>
        </w:rPr>
      </w:pPr>
      <w:r>
        <w:rPr>
          <w:rFonts w:hint="eastAsia" w:ascii="宋体" w:hAnsi="宋体"/>
          <w:bCs/>
          <w:color w:val="000000"/>
          <w:sz w:val="24"/>
          <w:szCs w:val="24"/>
        </w:rPr>
        <w:t xml:space="preserve">1.</w:t>
      </w:r>
      <w:r>
        <w:rPr>
          <w:rFonts w:hint="eastAsia" w:ascii="宋体" w:hAnsi="宋体"/>
          <w:bCs/>
          <w:color w:val="000000"/>
          <w:sz w:val="24"/>
          <w:szCs w:val="24"/>
          <w:u w:val="none"/>
          <w:lang w:val="en-US" w:eastAsia="zh-CN"/>
        </w:rPr>
        <w:t xml:space="preserve">2026</w:t>
      </w:r>
      <w:r>
        <w:rPr>
          <w:rFonts w:hint="eastAsia" w:ascii="宋体" w:hAnsi="宋体"/>
          <w:bCs/>
          <w:color w:val="000000"/>
          <w:sz w:val="24"/>
          <w:szCs w:val="24"/>
          <w:u w:val="none"/>
        </w:rPr>
        <w:t xml:space="preserve">年</w:t>
      </w:r>
      <w:r>
        <w:rPr>
          <w:rFonts w:hint="eastAsia" w:ascii="宋体" w:hAnsi="宋体"/>
          <w:bCs/>
          <w:color w:val="000000"/>
          <w:sz w:val="24"/>
          <w:szCs w:val="24"/>
          <w:u w:val="none"/>
          <w:lang w:val="en-US" w:eastAsia="zh-CN"/>
        </w:rPr>
        <w:t xml:space="preserve">1</w:t>
      </w:r>
      <w:r>
        <w:rPr>
          <w:rFonts w:hint="eastAsia" w:ascii="宋体" w:hAnsi="宋体"/>
          <w:bCs/>
          <w:color w:val="000000"/>
          <w:sz w:val="24"/>
          <w:szCs w:val="24"/>
          <w:u w:val="none"/>
        </w:rPr>
        <w:t xml:space="preserve">月</w:t>
      </w:r>
      <w:r>
        <w:rPr>
          <w:rFonts w:hint="eastAsia" w:ascii="宋体" w:hAnsi="宋体"/>
          <w:bCs/>
          <w:color w:val="000000"/>
          <w:sz w:val="24"/>
          <w:szCs w:val="24"/>
          <w:u w:val="none"/>
          <w:lang w:val="en-US" w:eastAsia="zh-CN"/>
        </w:rPr>
        <w:t xml:space="preserve">29</w:t>
      </w:r>
      <w:r>
        <w:rPr>
          <w:rFonts w:hint="eastAsia" w:ascii="宋体" w:hAnsi="宋体"/>
          <w:bCs/>
          <w:color w:val="000000"/>
          <w:sz w:val="24"/>
          <w:szCs w:val="24"/>
          <w:u w:val="none"/>
        </w:rPr>
        <w:t xml:space="preserve">日</w:t>
      </w:r>
      <w:r>
        <w:rPr>
          <w:rFonts w:hint="eastAsia" w:ascii="宋体" w:hAnsi="宋体"/>
          <w:bCs/>
          <w:color w:val="000000"/>
          <w:sz w:val="24"/>
          <w:szCs w:val="24"/>
          <w:u w:val="none"/>
          <w:lang w:val="en-US" w:eastAsia="zh-CN"/>
        </w:rPr>
        <w:t xml:space="preserve">9</w:t>
      </w:r>
      <w:r>
        <w:rPr>
          <w:rFonts w:hint="eastAsia" w:ascii="宋体" w:hAnsi="宋体"/>
          <w:bCs/>
          <w:color w:val="000000"/>
          <w:sz w:val="24"/>
          <w:szCs w:val="24"/>
          <w:u w:val="none"/>
        </w:rPr>
        <w:t xml:space="preserve">点</w:t>
      </w:r>
      <w:r>
        <w:rPr>
          <w:rFonts w:hint="eastAsia" w:ascii="宋体" w:hAnsi="宋体"/>
          <w:bCs/>
          <w:color w:val="000000"/>
          <w:sz w:val="24"/>
          <w:szCs w:val="24"/>
          <w:u w:val="none"/>
          <w:lang w:val="en-US" w:eastAsia="zh-CN"/>
        </w:rPr>
        <w:t xml:space="preserve">00</w:t>
      </w:r>
      <w:r>
        <w:rPr>
          <w:rFonts w:hint="eastAsia" w:ascii="宋体" w:hAnsi="宋体"/>
          <w:bCs/>
          <w:color w:val="000000"/>
          <w:sz w:val="24"/>
          <w:szCs w:val="24"/>
          <w:u w:val="none"/>
        </w:rPr>
        <w:t xml:space="preserve">分</w:t>
      </w:r>
      <w:r>
        <w:rPr>
          <w:rFonts w:hint="eastAsia" w:ascii="宋体" w:hAnsi="宋体"/>
          <w:bCs/>
          <w:color w:val="000000"/>
          <w:sz w:val="24"/>
          <w:szCs w:val="24"/>
        </w:rPr>
        <w:t xml:space="preserve">（北京时间）。</w:t>
      </w:r>
      <w:r/>
    </w:p>
    <w:p>
      <w:pPr>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p>
    <w:p>
      <w:pPr>
        <w:ind w:firstLine="496"/>
        <w:keepLines/>
        <w:keepNext/>
        <w:spacing w:before="156" w:after="156" w:line="360" w:lineRule="auto"/>
        <w:rPr>
          <w:b/>
          <w:bCs/>
          <w:color w:val="000000"/>
          <w:sz w:val="32"/>
          <w:szCs w:val="32"/>
        </w:rPr>
        <w:outlineLvl w:val="2"/>
      </w:pPr>
      <w:r/>
      <w:bookmarkStart w:id="27" w:name="_Toc35393625"/>
      <w:r/>
      <w:bookmarkStart w:id="28" w:name="_Toc28359084"/>
      <w:r/>
      <w:bookmarkStart w:id="29" w:name="_Toc28359007"/>
      <w:r/>
      <w:bookmarkStart w:id="30" w:name="_Toc38985267"/>
      <w:r/>
      <w:bookmarkStart w:id="31" w:name="_Toc35393794"/>
      <w:r>
        <w:rPr>
          <w:rFonts w:hint="eastAsia"/>
          <w:b/>
          <w:bCs/>
          <w:color w:val="000000"/>
          <w:sz w:val="32"/>
          <w:szCs w:val="32"/>
        </w:rPr>
        <w:t xml:space="preserve">五、公告期限</w:t>
      </w:r>
      <w:bookmarkEnd w:id="27"/>
      <w:r/>
      <w:bookmarkEnd w:id="28"/>
      <w:r/>
      <w:bookmarkEnd w:id="29"/>
      <w:r/>
      <w:bookmarkEnd w:id="30"/>
      <w:r/>
      <w:bookmarkEnd w:id="31"/>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ind w:firstLine="496"/>
        <w:keepLines/>
        <w:keepNext/>
        <w:spacing w:before="156" w:after="156" w:line="400" w:lineRule="exact"/>
        <w:rPr>
          <w:b/>
          <w:bCs/>
          <w:color w:val="000000"/>
          <w:sz w:val="32"/>
          <w:szCs w:val="32"/>
        </w:rPr>
        <w:outlineLvl w:val="2"/>
      </w:pPr>
      <w:r/>
      <w:bookmarkStart w:id="32" w:name="_Toc35393795"/>
      <w:r/>
      <w:bookmarkStart w:id="33" w:name="_Toc35393626"/>
      <w:r/>
      <w:bookmarkStart w:id="34" w:name="_Toc38985268"/>
      <w:r>
        <w:rPr>
          <w:rFonts w:hint="eastAsia"/>
          <w:b/>
          <w:bCs/>
          <w:color w:val="000000"/>
          <w:sz w:val="32"/>
          <w:szCs w:val="32"/>
        </w:rPr>
        <w:t xml:space="preserve">六、其他补充事宜</w:t>
      </w:r>
      <w:bookmarkEnd w:id="32"/>
      <w:r/>
      <w:bookmarkEnd w:id="33"/>
      <w:r/>
      <w:bookmarkEnd w:id="34"/>
      <w:r/>
      <w:r/>
    </w:p>
    <w:p>
      <w:pPr>
        <w:ind w:firstLine="480"/>
        <w:spacing w:line="400" w:lineRule="exact"/>
        <w:tabs>
          <w:tab w:val="left" w:pos="900" w:leader="none"/>
        </w:tabs>
        <w:rPr>
          <w:rFonts w:ascii="宋体" w:hAnsi="宋体"/>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szCs w:val="21"/>
        </w:rPr>
        <w:t xml:space="preserve">http://www.ccgp-jiangsu.gov.cn/jiangsu/zlxz/ee/ee3a4bc5a3454aa2b0d9312230633ce9.html。</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w:t>
      </w:r>
      <w:r>
        <w:rPr>
          <w:rFonts w:hint="eastAsia" w:ascii="宋体" w:hAnsi="宋体"/>
          <w:bCs/>
          <w:sz w:val="24"/>
          <w:szCs w:val="24"/>
          <w:lang w:eastAsia="zh-CN"/>
        </w:rPr>
        <w:t xml:space="preserve">（</w:t>
      </w:r>
      <w:r>
        <w:rPr>
          <w:rFonts w:hint="eastAsia" w:ascii="宋体" w:hAnsi="宋体"/>
          <w:bCs/>
          <w:sz w:val="24"/>
          <w:szCs w:val="24"/>
        </w:rPr>
        <w:t xml:space="preserve">请至淮安市清江浦区深圳路16号淮安市公共资源交易中心二楼13号CA办理窗口办理，具体联系方式见《苏采云系统供应商操作手册》（以下简称《操作手册》））、进行注册并按《操作手册》要求制作、上传电子投标文件。投标人也可前往“江苏政务服务网”</w:t>
      </w:r>
      <w:r>
        <w:rPr>
          <w:bCs/>
          <w:szCs w:val="21"/>
        </w:rPr>
        <w:t xml:space="preserve">（www.jszwfw.gov.cn）</w:t>
      </w:r>
      <w:r>
        <w:rPr>
          <w:rFonts w:hint="eastAsia" w:ascii="宋体" w:hAnsi="宋体"/>
          <w:bCs/>
          <w:sz w:val="24"/>
          <w:szCs w:val="24"/>
        </w:rPr>
        <w:t xml:space="preserve">，“一企来办”专栏下“政府采购”模块详细了解关于CA办理、标书制作、开标投标指引等事宜。</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szCs w:val="21"/>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szCs w:val="21"/>
        </w:rPr>
        <w:t xml:space="preserve">（www.jszwfw.gov.cn）</w:t>
      </w:r>
      <w:r>
        <w:rPr>
          <w:rFonts w:hint="eastAsia" w:ascii="宋体" w:hAnsi="宋体"/>
          <w:bCs/>
          <w:sz w:val="24"/>
          <w:szCs w:val="24"/>
        </w:rPr>
        <w:t xml:space="preserve">，“一企来办”专栏下“政府采购”模块中信息不一致，以“江苏政府采购网”信息为准。</w:t>
      </w:r>
      <w:r/>
    </w:p>
    <w:p>
      <w:pPr>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.有关本次招标的事项若存在变动或修改，敬请及时关注</w:t>
      </w:r>
      <w:r>
        <w:rPr>
          <w:rFonts w:hint="eastAsia" w:ascii="宋体" w:hAnsi="宋体"/>
          <w:bCs/>
          <w:sz w:val="24"/>
          <w:szCs w:val="24"/>
          <w:lang w:eastAsia="zh-CN"/>
        </w:rPr>
        <w:t xml:space="preserve">淮安市公共资源交易中心金湖分中心</w:t>
      </w:r>
      <w:r>
        <w:rPr>
          <w:rFonts w:hint="eastAsia" w:ascii="宋体" w:hAnsi="宋体"/>
          <w:bCs/>
          <w:sz w:val="24"/>
          <w:szCs w:val="24"/>
        </w:rPr>
        <w:t xml:space="preserve">在“江苏政府采购网”发布的更正公告。</w:t>
      </w:r>
      <w:r/>
    </w:p>
    <w:p>
      <w:pPr>
        <w:ind w:firstLine="480"/>
        <w:spacing w:line="400" w:lineRule="exact"/>
        <w:rPr>
          <w:rFonts w:ascii="宋体" w:hAnsi="宋体" w:cs="宋体"/>
          <w:color w:val="000000"/>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r/>
    </w:p>
    <w:p>
      <w:pPr>
        <w:ind w:firstLine="496"/>
        <w:keepLines/>
        <w:keepNext/>
        <w:spacing w:before="156" w:after="156" w:line="400" w:lineRule="exact"/>
        <w:rPr>
          <w:b/>
          <w:bCs/>
          <w:color w:val="000000"/>
          <w:sz w:val="32"/>
          <w:szCs w:val="32"/>
        </w:rPr>
        <w:outlineLvl w:val="2"/>
      </w:pPr>
      <w:r/>
      <w:bookmarkStart w:id="35" w:name="_Toc28359085"/>
      <w:r/>
      <w:bookmarkStart w:id="36" w:name="_Toc35393796"/>
      <w:r/>
      <w:bookmarkStart w:id="37" w:name="_Toc28359008"/>
      <w:r/>
      <w:bookmarkStart w:id="38" w:name="_Toc38985269"/>
      <w:r/>
      <w:bookmarkStart w:id="39" w:name="_Toc35393627"/>
      <w:r>
        <w:rPr>
          <w:rFonts w:hint="eastAsia"/>
          <w:b/>
          <w:bCs/>
          <w:color w:val="000000"/>
          <w:sz w:val="32"/>
          <w:szCs w:val="32"/>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p>
    <w:p>
      <w:pPr>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名称：</w:t>
      </w:r>
      <w:r>
        <w:rPr>
          <w:rFonts w:hint="eastAsia" w:ascii="宋体" w:hAnsi="宋体"/>
          <w:color w:val="000000"/>
          <w:sz w:val="24"/>
          <w:szCs w:val="24"/>
          <w:u w:val="none"/>
        </w:rPr>
        <w:t xml:space="preserve">金湖县人民政府黎城街道办事处</w:t>
      </w:r>
      <w:r/>
    </w:p>
    <w:p>
      <w:pPr>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地址：</w:t>
      </w:r>
      <w:r>
        <w:rPr>
          <w:rFonts w:hint="eastAsia" w:ascii="宋体" w:hAnsi="宋体"/>
          <w:color w:val="000000"/>
          <w:sz w:val="24"/>
          <w:szCs w:val="24"/>
          <w:u w:val="none"/>
        </w:rPr>
        <w:t xml:space="preserve">江苏省淮安市金湖县跃进路17号</w:t>
      </w:r>
      <w:r/>
    </w:p>
    <w:p>
      <w:pPr>
        <w:ind w:firstLine="480"/>
        <w:jc w:val="left"/>
        <w:spacing w:line="4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联系人：</w:t>
      </w:r>
      <w:r>
        <w:rPr>
          <w:rFonts w:hint="eastAsia" w:ascii="宋体" w:hAnsi="宋体"/>
          <w:color w:val="000000"/>
          <w:sz w:val="24"/>
          <w:szCs w:val="24"/>
          <w:u w:val="none"/>
          <w:lang w:val="en-US" w:eastAsia="zh-CN"/>
        </w:rPr>
        <w:t xml:space="preserve">霍主任</w:t>
      </w:r>
      <w:r/>
    </w:p>
    <w:p>
      <w:pPr>
        <w:ind w:firstLine="48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联系方式：</w:t>
      </w:r>
      <w:bookmarkStart w:id="40" w:name="_Toc28359086"/>
      <w:r/>
      <w:bookmarkStart w:id="41" w:name="_Toc28359009"/>
      <w:r>
        <w:rPr>
          <w:rFonts w:hint="eastAsia" w:ascii="宋体" w:hAnsi="宋体"/>
          <w:color w:val="000000"/>
          <w:sz w:val="24"/>
          <w:szCs w:val="24"/>
          <w:u w:val="none"/>
        </w:rPr>
        <w:t xml:space="preserve">13813332755</w:t>
      </w:r>
      <w:r/>
    </w:p>
    <w:p>
      <w:pPr>
        <w:ind w:firstLine="480"/>
        <w:jc w:val="left"/>
        <w:spacing w:line="400" w:lineRule="exact"/>
        <w:rPr>
          <w:rFonts w:hint="default" w:ascii="宋体" w:hAnsi="宋体" w:eastAsia="宋体" w:cs="宋体"/>
          <w:color w:val="000000"/>
          <w:sz w:val="24"/>
          <w:szCs w:val="24"/>
          <w:lang w:val="en-US" w:eastAsia="zh-CN"/>
        </w:rPr>
      </w:pP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代理机构信息</w:t>
      </w:r>
      <w:r/>
    </w:p>
    <w:p>
      <w:pPr>
        <w:ind w:firstLine="480"/>
        <w:jc w:val="left"/>
        <w:spacing w:line="400" w:lineRule="exact"/>
        <w:rPr>
          <w:rFonts w:ascii="宋体" w:hAnsi="宋体"/>
          <w:color w:val="000000"/>
          <w:sz w:val="24"/>
          <w:szCs w:val="24"/>
        </w:rPr>
      </w:pPr>
      <w:r>
        <w:rPr>
          <w:rFonts w:hint="eastAsia" w:ascii="宋体" w:hAnsi="宋体" w:cs="宋体"/>
          <w:color w:val="000000"/>
          <w:sz w:val="24"/>
          <w:szCs w:val="24"/>
          <w:lang w:val="en-US" w:eastAsia="zh-CN"/>
        </w:rPr>
        <w:t xml:space="preserve">名称：</w:t>
      </w:r>
      <w:r>
        <w:rPr>
          <w:rFonts w:hint="eastAsia" w:ascii="宋体" w:hAnsi="宋体" w:cs="宋体"/>
          <w:color w:val="000000"/>
          <w:sz w:val="24"/>
          <w:szCs w:val="24"/>
          <w:lang w:eastAsia="zh-CN"/>
        </w:rPr>
        <w:t xml:space="preserve">淮安市公共资源交易中心金湖分中心</w:t>
      </w:r>
      <w:bookmarkEnd w:id="40"/>
      <w:r/>
      <w:bookmarkEnd w:id="41"/>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地址：</w:t>
      </w:r>
      <w:r>
        <w:rPr>
          <w:rFonts w:hint="eastAsia" w:ascii="宋体" w:hAnsi="宋体"/>
          <w:color w:val="000000"/>
          <w:sz w:val="24"/>
          <w:szCs w:val="24"/>
          <w:u w:val="none"/>
        </w:rPr>
        <w:t xml:space="preserve">江苏省淮安市金湖县园林南路288号</w:t>
      </w:r>
      <w:r/>
    </w:p>
    <w:p>
      <w:pPr>
        <w:ind w:firstLine="480"/>
        <w:spacing w:line="400" w:lineRule="exact"/>
        <w:rPr>
          <w:rFonts w:hint="eastAsia" w:ascii="宋体" w:hAnsi="宋体" w:eastAsia="宋体"/>
          <w:color w:val="000000"/>
          <w:sz w:val="24"/>
          <w:szCs w:val="24"/>
          <w:lang w:val="en-US" w:eastAsia="zh-CN"/>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任晓华</w:t>
      </w:r>
      <w:r/>
    </w:p>
    <w:p>
      <w:pPr>
        <w:ind w:firstLine="480"/>
        <w:spacing w:line="400" w:lineRule="exact"/>
        <w:rPr>
          <w:rFonts w:hint="default" w:ascii="宋体" w:hAnsi="宋体" w:eastAsia="宋体"/>
          <w:bCs/>
          <w:sz w:val="24"/>
          <w:szCs w:val="24"/>
          <w:lang w:val="en-US" w:eastAsia="zh-CN"/>
        </w:rPr>
      </w:pPr>
      <w:r>
        <w:rPr>
          <w:rFonts w:hint="eastAsia" w:ascii="宋体" w:hAnsi="宋体"/>
          <w:color w:val="000000"/>
          <w:sz w:val="24"/>
          <w:szCs w:val="24"/>
        </w:rPr>
        <w:t xml:space="preserve">联系方式：</w:t>
      </w:r>
      <w:bookmarkStart w:id="42" w:name="_Toc28359087"/>
      <w:r/>
      <w:bookmarkStart w:id="43" w:name="_Toc28359010"/>
      <w:r>
        <w:rPr>
          <w:rFonts w:hint="eastAsia" w:ascii="宋体" w:hAnsi="宋体"/>
          <w:color w:val="000000"/>
          <w:sz w:val="24"/>
          <w:szCs w:val="24"/>
          <w:u w:val="none"/>
        </w:rPr>
        <w:t xml:space="preserve">0517-86986001</w:t>
      </w:r>
      <w:bookmarkEnd w:id="42"/>
      <w:r/>
      <w:bookmarkEnd w:id="43"/>
      <w:r>
        <w:rPr>
          <w:rFonts w:hint="eastAsia" w:ascii="宋体" w:hAnsi="宋体"/>
          <w:color w:val="000000"/>
          <w:sz w:val="24"/>
          <w:szCs w:val="24"/>
          <w:u w:val="none"/>
          <w:lang w:eastAsia="zh-CN"/>
        </w:rPr>
        <w:t xml:space="preserve">、</w:t>
      </w:r>
      <w:r>
        <w:rPr>
          <w:rFonts w:hint="eastAsia" w:ascii="宋体" w:hAnsi="宋体"/>
          <w:color w:val="000000"/>
          <w:sz w:val="24"/>
          <w:szCs w:val="24"/>
          <w:u w:val="none"/>
          <w:lang w:val="en-US" w:eastAsia="zh-CN"/>
        </w:rPr>
        <w:t xml:space="preserve">15380660693</w:t>
      </w:r>
      <w:r/>
    </w:p>
    <w:p>
      <w:pPr>
        <w:ind w:right="0"/>
        <w:jc w:val="center"/>
        <w:rPr>
          <w:rFonts w:hint="eastAsia" w:ascii="黑体" w:hAnsi="Arial" w:eastAsia="黑体" w:cs="Arial"/>
          <w:color w:val="000000"/>
          <w:sz w:val="44"/>
          <w:szCs w:val="44"/>
        </w:rPr>
      </w:pPr>
      <w:r/>
      <w:bookmarkStart w:id="44" w:name="_Toc120614211"/>
      <w:r>
        <w:rPr>
          <w:rFonts w:hint="eastAsia" w:ascii="黑体" w:hAnsi="Arial" w:eastAsia="黑体" w:cs="Arial"/>
          <w:b/>
          <w:bCs/>
          <w:color w:val="000000"/>
          <w:sz w:val="44"/>
          <w:szCs w:val="44"/>
        </w:rPr>
        <w:br w:type="page" w:clear="all"/>
      </w:r>
      <w:r>
        <w:rPr>
          <w:rFonts w:hint="eastAsia" w:ascii="黑体" w:hAnsi="Arial" w:eastAsia="黑体" w:cs="Arial"/>
          <w:b w:val="0"/>
          <w:bCs w:val="0"/>
          <w:color w:val="000000"/>
          <w:sz w:val="44"/>
          <w:szCs w:val="44"/>
        </w:rPr>
        <w:t xml:space="preserve">第二章  </w:t>
      </w:r>
      <w:bookmarkEnd w:id="1"/>
      <w:r/>
      <w:bookmarkEnd w:id="2"/>
      <w:r/>
      <w:bookmarkEnd w:id="3"/>
      <w:r/>
      <w:bookmarkEnd w:id="4"/>
      <w:r/>
      <w:bookmarkEnd w:id="5"/>
      <w:r/>
      <w:bookmarkEnd w:id="44"/>
      <w:r/>
      <w:bookmarkStart w:id="45" w:name="_Toc120614213"/>
      <w:r/>
      <w:bookmarkStart w:id="46" w:name="_Toc20823274"/>
      <w:r/>
      <w:bookmarkStart w:id="47" w:name="_Toc16938518"/>
      <w:r/>
      <w:bookmarkStart w:id="48" w:name="_Toc513029202"/>
      <w:r>
        <w:rPr>
          <w:rFonts w:hint="eastAsia" w:ascii="黑体" w:hAnsi="Arial" w:eastAsia="黑体" w:cs="Arial"/>
          <w:b w:val="0"/>
          <w:bCs w:val="0"/>
          <w:color w:val="000000"/>
          <w:sz w:val="44"/>
          <w:szCs w:val="44"/>
        </w:rPr>
        <w:t xml:space="preserve">投标人须知</w:t>
      </w:r>
      <w:bookmarkEnd w:id="45"/>
      <w:r/>
      <w:bookmarkEnd w:id="46"/>
      <w:r/>
      <w:bookmarkEnd w:id="47"/>
      <w:r/>
      <w:bookmarkEnd w:id="48"/>
      <w:r/>
      <w:r/>
    </w:p>
    <w:p>
      <w:pPr>
        <w:ind w:firstLine="496"/>
        <w:keepLines/>
        <w:keepNext/>
        <w:spacing w:before="156" w:after="156" w:line="400" w:lineRule="exact"/>
        <w:rPr>
          <w:rFonts w:hint="eastAsia"/>
          <w:b/>
          <w:bCs/>
          <w:color w:val="000000"/>
          <w:sz w:val="32"/>
          <w:szCs w:val="32"/>
        </w:rPr>
        <w:outlineLvl w:val="2"/>
      </w:pPr>
      <w:r/>
      <w:bookmarkStart w:id="49" w:name="_Toc120614214"/>
      <w:r/>
      <w:bookmarkStart w:id="50" w:name="_Toc513029203"/>
      <w:r/>
      <w:bookmarkStart w:id="51" w:name="_Toc20823275"/>
      <w:r/>
      <w:bookmarkStart w:id="52" w:name="_Toc16938519"/>
      <w:r>
        <w:rPr>
          <w:rFonts w:hint="eastAsia"/>
          <w:b/>
          <w:bCs/>
          <w:color w:val="000000"/>
          <w:sz w:val="32"/>
          <w:szCs w:val="32"/>
        </w:rPr>
        <w:t xml:space="preserve">一、总则</w:t>
      </w:r>
      <w:bookmarkEnd w:id="49"/>
      <w:r/>
      <w:bookmarkEnd w:id="50"/>
      <w:r/>
      <w:bookmarkEnd w:id="51"/>
      <w:r/>
      <w:bookmarkEnd w:id="52"/>
      <w:r/>
      <w:r/>
    </w:p>
    <w:p>
      <w:pPr>
        <w:ind w:firstLine="420"/>
        <w:keepLines/>
        <w:keepNext/>
        <w:spacing w:line="400" w:lineRule="exact"/>
        <w:rPr>
          <w:rFonts w:hint="eastAsia" w:ascii="Arial" w:hAnsi="Arial" w:eastAsia="黑体" w:cs="Arial"/>
          <w:color w:val="000000"/>
          <w:sz w:val="28"/>
          <w:szCs w:val="28"/>
        </w:rPr>
        <w:outlineLvl w:val="3"/>
      </w:pPr>
      <w:r/>
      <w:bookmarkStart w:id="53" w:name="_Hlt16619475"/>
      <w:r/>
      <w:bookmarkEnd w:id="53"/>
      <w:r/>
      <w:bookmarkStart w:id="54" w:name="_Toc458694821"/>
      <w:r/>
      <w:bookmarkStart w:id="55" w:name="_Toc513029204"/>
      <w:r/>
      <w:bookmarkStart w:id="56" w:name="_Toc20823276"/>
      <w:r/>
      <w:bookmarkStart w:id="57" w:name="_Toc16938520"/>
      <w:r>
        <w:rPr>
          <w:rFonts w:hint="eastAsia" w:ascii="Arial" w:hAnsi="Arial" w:eastAsia="黑体" w:cs="Arial"/>
          <w:color w:val="000000"/>
          <w:sz w:val="28"/>
          <w:szCs w:val="28"/>
        </w:rPr>
        <w:t xml:space="preserve">1</w:t>
      </w:r>
      <w:bookmarkEnd w:id="54"/>
      <w:r>
        <w:rPr>
          <w:rFonts w:hint="eastAsia" w:ascii="Arial" w:hAnsi="Arial" w:eastAsia="黑体" w:cs="Arial"/>
          <w:color w:val="000000"/>
          <w:sz w:val="28"/>
          <w:szCs w:val="28"/>
        </w:rPr>
        <w:t xml:space="preserve">、招标方式</w:t>
      </w:r>
      <w:bookmarkEnd w:id="55"/>
      <w:r/>
      <w:bookmarkEnd w:id="56"/>
      <w:r/>
      <w:bookmarkEnd w:id="57"/>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p>
    <w:p>
      <w:pPr>
        <w:ind w:firstLine="420"/>
        <w:keepLines/>
        <w:keepNext/>
        <w:spacing w:line="400" w:lineRule="exact"/>
        <w:rPr>
          <w:rFonts w:hint="eastAsia" w:ascii="Arial" w:hAnsi="Arial" w:eastAsia="黑体" w:cs="Arial"/>
          <w:color w:val="000000"/>
          <w:sz w:val="28"/>
          <w:szCs w:val="28"/>
        </w:rPr>
        <w:outlineLvl w:val="3"/>
      </w:pPr>
      <w:r/>
      <w:bookmarkStart w:id="58" w:name="_Toc20823277"/>
      <w:r/>
      <w:bookmarkStart w:id="59" w:name="_Toc16938521"/>
      <w:r/>
      <w:bookmarkStart w:id="60" w:name="_Toc513029205"/>
      <w:r>
        <w:rPr>
          <w:rFonts w:hint="eastAsia" w:ascii="Arial" w:hAnsi="Arial" w:eastAsia="黑体" w:cs="Arial"/>
          <w:color w:val="000000"/>
          <w:sz w:val="28"/>
          <w:szCs w:val="28"/>
        </w:rPr>
        <w:t xml:space="preserve">2、合格的投标人</w:t>
      </w:r>
      <w:bookmarkEnd w:id="58"/>
      <w:r/>
      <w:bookmarkEnd w:id="59"/>
      <w:r/>
      <w:bookmarkEnd w:id="60"/>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ind w:firstLine="420"/>
        <w:keepLines/>
        <w:keepNext/>
        <w:spacing w:line="400" w:lineRule="exact"/>
        <w:rPr>
          <w:rFonts w:hint="eastAsia" w:ascii="Arial" w:hAnsi="Arial" w:eastAsia="黑体" w:cs="Arial"/>
          <w:color w:val="000000"/>
          <w:sz w:val="28"/>
          <w:szCs w:val="28"/>
        </w:rPr>
        <w:outlineLvl w:val="3"/>
      </w:pPr>
      <w:r/>
      <w:bookmarkStart w:id="61" w:name="_Toc16938522"/>
      <w:r/>
      <w:bookmarkStart w:id="62" w:name="_Toc20823278"/>
      <w:r/>
      <w:bookmarkStart w:id="63" w:name="_Toc513029206"/>
      <w:r>
        <w:rPr>
          <w:rFonts w:hint="eastAsia" w:ascii="Arial" w:hAnsi="Arial" w:eastAsia="黑体" w:cs="Arial"/>
          <w:color w:val="000000"/>
          <w:sz w:val="28"/>
          <w:szCs w:val="28"/>
        </w:rPr>
        <w:t xml:space="preserve">3、适用法律</w:t>
      </w:r>
      <w:bookmarkEnd w:id="61"/>
      <w:r/>
      <w:bookmarkEnd w:id="62"/>
      <w:r/>
      <w:bookmarkEnd w:id="63"/>
      <w:r>
        <w:rPr>
          <w:rFonts w:hint="eastAsia" w:ascii="Arial" w:hAnsi="Arial" w:eastAsia="黑体" w:cs="Arial"/>
          <w:color w:val="000000"/>
          <w:sz w:val="28"/>
          <w:szCs w:val="28"/>
        </w:rPr>
        <w:t xml:space="preserve">和标准</w:t>
      </w:r>
      <w:r/>
    </w:p>
    <w:p>
      <w:pPr>
        <w:ind w:firstLine="420"/>
        <w:spacing w:line="400" w:lineRule="exact"/>
        <w:rPr>
          <w:rFonts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p>
    <w:p>
      <w:pPr>
        <w:ind w:firstLine="420"/>
        <w:spacing w:line="40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3.2 在本项目政府采购活动过程中，如果所执行的标准有更新的，按照最新标准执行。</w:t>
      </w:r>
      <w:r/>
    </w:p>
    <w:p>
      <w:pPr>
        <w:ind w:firstLine="420"/>
        <w:keepLines/>
        <w:keepNext/>
        <w:spacing w:line="400" w:lineRule="exact"/>
        <w:rPr>
          <w:rFonts w:hint="eastAsia" w:ascii="Arial" w:hAnsi="Arial" w:eastAsia="黑体" w:cs="Arial"/>
          <w:color w:val="000000"/>
          <w:sz w:val="28"/>
          <w:szCs w:val="28"/>
        </w:rPr>
        <w:outlineLvl w:val="3"/>
      </w:pPr>
      <w:r/>
      <w:bookmarkStart w:id="64" w:name="_Toc20823279"/>
      <w:r/>
      <w:bookmarkStart w:id="65" w:name="_Toc513029207"/>
      <w:r/>
      <w:bookmarkStart w:id="66" w:name="_Toc16938523"/>
      <w:r/>
      <w:bookmarkStart w:id="67" w:name="_Toc462564067"/>
      <w:r>
        <w:rPr>
          <w:rFonts w:hint="eastAsia" w:ascii="Arial" w:hAnsi="Arial" w:eastAsia="黑体" w:cs="Arial"/>
          <w:color w:val="000000"/>
          <w:sz w:val="28"/>
          <w:szCs w:val="28"/>
        </w:rPr>
        <w:t xml:space="preserve">4、投标费用</w:t>
      </w:r>
      <w:bookmarkEnd w:id="64"/>
      <w:r/>
      <w:bookmarkEnd w:id="65"/>
      <w:r/>
      <w:bookmarkEnd w:id="66"/>
      <w:r/>
      <w:bookmarkEnd w:id="67"/>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投标人应自行承担所有与参加投标有关的费用，无论投标过程中的做法和结果如何，</w:t>
      </w:r>
      <w:r>
        <w:rPr>
          <w:rFonts w:hint="eastAsia" w:ascii="宋体" w:hAnsi="宋体"/>
          <w:color w:val="000000"/>
          <w:sz w:val="24"/>
          <w:szCs w:val="21"/>
          <w:lang w:eastAsia="zh-CN"/>
        </w:rPr>
        <w:t xml:space="preserve">淮安市公共资源交易中心金湖分中心</w:t>
      </w:r>
      <w:r>
        <w:rPr>
          <w:rFonts w:hint="eastAsia" w:ascii="宋体" w:hAnsi="宋体"/>
          <w:color w:val="000000"/>
          <w:sz w:val="24"/>
          <w:szCs w:val="21"/>
        </w:rPr>
        <w:t xml:space="preserve">（以下简称采购中心）在任何情况下均无义务和责任承担这些费用。</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4.2本次招标采购中心和采购人不收取标书工本费与中标服务费。</w:t>
      </w:r>
      <w:r/>
    </w:p>
    <w:p>
      <w:pPr>
        <w:ind w:firstLine="450"/>
        <w:keepLines/>
        <w:keepNext/>
        <w:spacing w:line="40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ind w:firstLine="320"/>
        <w:keepLines/>
        <w:keepNext/>
        <w:spacing w:before="156" w:after="156" w:line="400" w:lineRule="exact"/>
        <w:rPr>
          <w:rFonts w:hint="eastAsia"/>
          <w:b/>
          <w:bCs/>
          <w:color w:val="000000"/>
          <w:sz w:val="32"/>
          <w:szCs w:val="32"/>
        </w:rPr>
        <w:outlineLvl w:val="2"/>
      </w:pPr>
      <w:r/>
      <w:bookmarkStart w:id="68" w:name="_Toc16938525"/>
      <w:r/>
      <w:bookmarkStart w:id="69" w:name="_Toc513029209"/>
      <w:r/>
      <w:bookmarkStart w:id="70" w:name="_Toc120614215"/>
      <w:r/>
      <w:bookmarkStart w:id="71" w:name="_Toc20823281"/>
      <w:r>
        <w:rPr>
          <w:rFonts w:hint="eastAsia"/>
          <w:b/>
          <w:bCs/>
          <w:color w:val="000000"/>
          <w:sz w:val="32"/>
          <w:szCs w:val="32"/>
        </w:rPr>
        <w:t xml:space="preserve">二、招标文件</w:t>
      </w:r>
      <w:bookmarkEnd w:id="68"/>
      <w:r/>
      <w:bookmarkEnd w:id="69"/>
      <w:r/>
      <w:bookmarkEnd w:id="70"/>
      <w:r/>
      <w:bookmarkEnd w:id="71"/>
      <w:r/>
      <w:r/>
    </w:p>
    <w:p>
      <w:pPr>
        <w:ind w:firstLine="420"/>
        <w:keepLines/>
        <w:keepNext/>
        <w:spacing w:line="400" w:lineRule="exact"/>
        <w:rPr>
          <w:rFonts w:hint="eastAsia" w:ascii="Arial" w:hAnsi="Arial" w:eastAsia="黑体" w:cs="Arial"/>
          <w:color w:val="000000"/>
          <w:sz w:val="28"/>
          <w:szCs w:val="28"/>
        </w:rPr>
        <w:outlineLvl w:val="3"/>
      </w:pPr>
      <w:r/>
      <w:bookmarkStart w:id="72" w:name="_Toc20823282"/>
      <w:r/>
      <w:bookmarkStart w:id="73" w:name="_Toc513029210"/>
      <w:r/>
      <w:bookmarkStart w:id="74" w:name="_Toc16938526"/>
      <w:r>
        <w:rPr>
          <w:rFonts w:hint="eastAsia" w:ascii="Arial" w:hAnsi="Arial" w:eastAsia="黑体" w:cs="Arial"/>
          <w:color w:val="000000"/>
          <w:sz w:val="28"/>
          <w:szCs w:val="28"/>
        </w:rPr>
        <w:t xml:space="preserve">6、招标文件构成</w:t>
      </w:r>
      <w:bookmarkEnd w:id="72"/>
      <w:r/>
      <w:bookmarkEnd w:id="73"/>
      <w:r/>
      <w:bookmarkEnd w:id="74"/>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rFonts w:hint="eastAsia"/>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请仔细检查招标文件是否齐全，如有缺漏请立即与采购中心联系解决。</w:t>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00" w:lineRule="exact"/>
        <w:rPr>
          <w:rFonts w:hint="eastAsia" w:ascii="Arial" w:hAnsi="Arial" w:eastAsia="黑体" w:cs="Arial"/>
          <w:color w:val="000000"/>
          <w:sz w:val="28"/>
          <w:szCs w:val="28"/>
        </w:rPr>
        <w:outlineLvl w:val="3"/>
      </w:pPr>
      <w:r/>
      <w:bookmarkStart w:id="75" w:name="_Toc20823284"/>
      <w:r/>
      <w:bookmarkStart w:id="76" w:name="_Toc16938528"/>
      <w:r/>
      <w:bookmarkStart w:id="77" w:name="_Toc462564071"/>
      <w:r/>
      <w:bookmarkStart w:id="78" w:name="_Toc513029212"/>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75"/>
      <w:r/>
      <w:bookmarkEnd w:id="76"/>
      <w:r/>
      <w:bookmarkEnd w:id="77"/>
      <w:r/>
      <w:bookmarkEnd w:id="78"/>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，采购中心可以对招标文件进行修改。</w:t>
      </w:r>
      <w:r/>
    </w:p>
    <w:p>
      <w:pPr>
        <w:ind w:firstLine="480"/>
        <w:spacing w:line="400" w:lineRule="exact"/>
        <w:rPr>
          <w:rFonts w:hint="eastAsia"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color w:val="000000"/>
          <w:sz w:val="24"/>
          <w:szCs w:val="21"/>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p>
    <w:p>
      <w:pPr>
        <w:ind w:firstLine="480"/>
        <w:keepLines/>
        <w:keepNext/>
        <w:spacing w:before="156" w:after="156" w:line="400" w:lineRule="exact"/>
        <w:rPr>
          <w:rFonts w:hint="eastAsia"/>
          <w:b/>
          <w:bCs/>
          <w:color w:val="000000"/>
          <w:sz w:val="32"/>
          <w:szCs w:val="32"/>
        </w:rPr>
        <w:outlineLvl w:val="2"/>
      </w:pPr>
      <w:r/>
      <w:bookmarkStart w:id="79" w:name="_Toc462564072"/>
      <w:r/>
      <w:bookmarkStart w:id="80" w:name="_Toc20823285"/>
      <w:r/>
      <w:bookmarkStart w:id="81" w:name="_Toc513029213"/>
      <w:r/>
      <w:bookmarkStart w:id="82" w:name="_Toc120614216"/>
      <w:r/>
      <w:bookmarkStart w:id="83" w:name="_Toc16938529"/>
      <w:r>
        <w:rPr>
          <w:rFonts w:hint="eastAsia"/>
          <w:b/>
          <w:bCs/>
          <w:color w:val="000000"/>
          <w:sz w:val="32"/>
          <w:szCs w:val="32"/>
        </w:rPr>
        <w:t xml:space="preserve">三、投标文件的编制</w:t>
      </w:r>
      <w:bookmarkEnd w:id="79"/>
      <w:r/>
      <w:bookmarkEnd w:id="80"/>
      <w:r/>
      <w:bookmarkEnd w:id="81"/>
      <w:r/>
      <w:bookmarkEnd w:id="82"/>
      <w:r/>
      <w:bookmarkEnd w:id="83"/>
      <w:r/>
      <w:r/>
    </w:p>
    <w:p>
      <w:pPr>
        <w:ind w:firstLine="560"/>
        <w:keepLines/>
        <w:keepNext/>
        <w:spacing w:line="400" w:lineRule="exact"/>
        <w:rPr>
          <w:rFonts w:hint="eastAsia" w:ascii="Arial" w:hAnsi="Arial" w:eastAsia="黑体" w:cs="Arial"/>
          <w:b/>
          <w:color w:val="000000"/>
          <w:sz w:val="28"/>
          <w:szCs w:val="28"/>
        </w:rPr>
        <w:outlineLvl w:val="3"/>
      </w:pPr>
      <w:r/>
      <w:bookmarkStart w:id="84" w:name="_Toc513029214"/>
      <w:r/>
      <w:bookmarkStart w:id="85" w:name="_Toc20823286"/>
      <w:r/>
      <w:bookmarkStart w:id="86" w:name="_Toc16938530"/>
      <w:r/>
      <w:bookmarkStart w:id="87" w:name="_Toc462564073"/>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84"/>
      <w:r/>
      <w:bookmarkEnd w:id="85"/>
      <w:r/>
      <w:bookmarkEnd w:id="86"/>
      <w:r/>
      <w:bookmarkEnd w:id="87"/>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投标人提交的投标文件以及投标人与采购中心就有关投标的所有来往通知、函件和文件均应使用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p>
    <w:p>
      <w:pPr>
        <w:ind w:firstLine="420"/>
        <w:keepLines/>
        <w:keepNext/>
        <w:spacing w:line="400" w:lineRule="exact"/>
        <w:rPr>
          <w:rFonts w:hint="eastAsia" w:ascii="Arial" w:hAnsi="Arial" w:eastAsia="黑体" w:cs="Arial"/>
          <w:color w:val="000000"/>
          <w:sz w:val="28"/>
          <w:szCs w:val="28"/>
        </w:rPr>
        <w:outlineLvl w:val="3"/>
      </w:pPr>
      <w:r/>
      <w:bookmarkStart w:id="88" w:name="_Toc462564074"/>
      <w:r/>
      <w:bookmarkStart w:id="89" w:name="_Toc513029215"/>
      <w:r/>
      <w:bookmarkStart w:id="90" w:name="_Toc20823287"/>
      <w:r/>
      <w:bookmarkStart w:id="91" w:name="_Toc16938531"/>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88"/>
      <w:r/>
      <w:bookmarkEnd w:id="89"/>
      <w:r/>
      <w:bookmarkEnd w:id="90"/>
      <w:r/>
      <w:bookmarkEnd w:id="91"/>
      <w:r/>
      <w:r/>
    </w:p>
    <w:p>
      <w:pPr>
        <w:ind w:firstLine="480"/>
        <w:spacing w:line="40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如标书制作工具中格式和内容与“江苏政府采购网”发布的招标文件不一致，请以“江苏政府采购网”发布的招标文件为准。</w:t>
      </w:r>
      <w:r/>
    </w:p>
    <w:p>
      <w:pPr>
        <w:ind w:firstLine="420"/>
        <w:keepLines/>
        <w:keepNext/>
        <w:spacing w:line="400" w:lineRule="exact"/>
        <w:rPr>
          <w:rFonts w:hint="eastAsia" w:ascii="Arial" w:hAnsi="Arial" w:eastAsia="黑体" w:cs="Arial"/>
          <w:color w:val="000000"/>
          <w:sz w:val="28"/>
          <w:szCs w:val="28"/>
        </w:rPr>
        <w:outlineLvl w:val="3"/>
      </w:pPr>
      <w:r/>
      <w:bookmarkStart w:id="92" w:name="_Hlt26954838"/>
      <w:r/>
      <w:bookmarkEnd w:id="92"/>
      <w:r/>
      <w:bookmarkStart w:id="93" w:name="_Hlt26670360"/>
      <w:r/>
      <w:bookmarkEnd w:id="93"/>
      <w:r/>
      <w:bookmarkStart w:id="94" w:name="_Hlt26668975"/>
      <w:r/>
      <w:bookmarkEnd w:id="94"/>
      <w:r/>
      <w:bookmarkStart w:id="95" w:name="_Toc49090509"/>
      <w:r/>
      <w:bookmarkStart w:id="96" w:name="_Toc513029219"/>
      <w:r/>
      <w:bookmarkStart w:id="97" w:name="_Toc14577357"/>
      <w:r/>
      <w:bookmarkStart w:id="98" w:name="_Toc49090507"/>
      <w:r/>
      <w:bookmarkStart w:id="99" w:name="_Toc513029216"/>
      <w:r/>
      <w:bookmarkStart w:id="100" w:name="_Toc14577354"/>
      <w:r/>
      <w:bookmarkStart w:id="101" w:name="_Toc49090508"/>
      <w:r/>
      <w:bookmarkStart w:id="102" w:name="_Toc14577355"/>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95"/>
      <w:r/>
      <w:bookmarkEnd w:id="96"/>
      <w:r/>
      <w:bookmarkEnd w:id="97"/>
      <w:r/>
      <w:bookmarkEnd w:id="98"/>
      <w:r/>
      <w:bookmarkEnd w:id="99"/>
      <w:r/>
      <w:bookmarkEnd w:id="100"/>
      <w:r/>
      <w:r/>
    </w:p>
    <w:p>
      <w:pPr>
        <w:spacing w:line="400" w:lineRule="exact"/>
        <w:rPr>
          <w:rFonts w:hint="eastAsia" w:ascii="宋体" w:hAnsi="宋体"/>
          <w:color w:val="000000"/>
          <w:sz w:val="24"/>
          <w:szCs w:val="24"/>
        </w:rPr>
      </w:pPr>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bookmarkEnd w:id="101"/>
      <w:r/>
      <w:bookmarkEnd w:id="102"/>
      <w:r/>
      <w:r/>
    </w:p>
    <w:p>
      <w:pPr>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p>
    <w:p>
      <w:pPr>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w:t>
      </w:r>
      <w:bookmarkStart w:id="103" w:name="_Hlt26954840"/>
      <w:r/>
      <w:bookmarkEnd w:id="103"/>
      <w:r>
        <w:rPr>
          <w:rFonts w:hint="eastAsia" w:ascii="宋体" w:hAnsi="宋体"/>
          <w:sz w:val="24"/>
          <w:szCs w:val="21"/>
        </w:rPr>
        <w:t xml:space="preserve">标人按照招标文件规定格式填报投标分项报价表</w:t>
      </w:r>
      <w:bookmarkStart w:id="104" w:name="_Hlt26670399"/>
      <w:r/>
      <w:bookmarkEnd w:id="104"/>
      <w:r>
        <w:rPr>
          <w:rFonts w:hint="eastAsia" w:ascii="宋体" w:hAnsi="宋体"/>
          <w:sz w:val="24"/>
          <w:szCs w:val="21"/>
        </w:rPr>
        <w:t xml:space="preserve">。</w:t>
      </w:r>
      <w:r/>
    </w:p>
    <w:p>
      <w:pPr>
        <w:ind w:firstLine="480"/>
        <w:spacing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400" w:lineRule="exact"/>
        <w:rPr>
          <w:rFonts w:hint="eastAsia" w:ascii="Arial" w:hAnsi="Arial" w:eastAsia="黑体" w:cs="Arial"/>
          <w:sz w:val="28"/>
          <w:szCs w:val="28"/>
        </w:rPr>
        <w:outlineLvl w:val="3"/>
      </w:pPr>
      <w:r/>
      <w:bookmarkStart w:id="105" w:name="_Hlt26954848"/>
      <w:r/>
      <w:bookmarkEnd w:id="105"/>
      <w:r/>
      <w:bookmarkStart w:id="106" w:name="_Hlt26954731"/>
      <w:r/>
      <w:bookmarkEnd w:id="106"/>
      <w:r/>
      <w:bookmarkStart w:id="107" w:name="_Hlt26670486"/>
      <w:r/>
      <w:bookmarkEnd w:id="107"/>
      <w:r/>
      <w:bookmarkStart w:id="108" w:name="_Hlt26954846"/>
      <w:r/>
      <w:bookmarkEnd w:id="108"/>
      <w:r/>
      <w:bookmarkStart w:id="109" w:name="_Hlt26670482"/>
      <w:r/>
      <w:bookmarkEnd w:id="109"/>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ind w:firstLine="480"/>
        <w:spacing w:line="4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投标人需对招标文件中的技术要求与商务要求逐项作出响应或偏离，并说明原因。</w:t>
      </w:r>
      <w:r/>
    </w:p>
    <w:p>
      <w:pPr>
        <w:ind w:firstLine="480"/>
        <w:spacing w:line="400" w:lineRule="exact"/>
        <w:rPr>
          <w:rFonts w:hint="eastAsia"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 投标人需按照招标文件要求，在投标文件中提供与技术要求和商务要求相关的证明材料。</w:t>
      </w:r>
      <w:r/>
    </w:p>
    <w:p>
      <w:pPr>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p>
    <w:p>
      <w:pPr>
        <w:ind w:firstLine="420"/>
        <w:keepLines/>
        <w:keepNext/>
        <w:spacing w:line="400" w:lineRule="exact"/>
        <w:rPr>
          <w:rFonts w:hint="eastAsia" w:ascii="Arial" w:hAnsi="Arial" w:eastAsia="黑体" w:cs="Arial"/>
          <w:color w:val="000000"/>
          <w:sz w:val="28"/>
          <w:szCs w:val="28"/>
        </w:rPr>
        <w:outlineLvl w:val="3"/>
      </w:pPr>
      <w:r/>
      <w:bookmarkStart w:id="110" w:name="_Toc14577359"/>
      <w:r/>
      <w:bookmarkStart w:id="111" w:name="_Toc4909051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bookmarkEnd w:id="110"/>
      <w:r/>
      <w:bookmarkEnd w:id="111"/>
      <w:r/>
      <w:r/>
    </w:p>
    <w:p>
      <w:pPr>
        <w:ind w:firstLine="420"/>
        <w:keepLines/>
        <w:keepNext/>
        <w:spacing w:line="400" w:lineRule="exact"/>
        <w:rPr>
          <w:rFonts w:hint="eastAsia" w:ascii="Arial" w:hAnsi="Arial" w:eastAsia="黑体" w:cs="Arial"/>
          <w:color w:val="000000"/>
          <w:sz w:val="28"/>
          <w:szCs w:val="28"/>
        </w:rPr>
        <w:outlineLvl w:val="3"/>
      </w:pPr>
      <w:r/>
      <w:bookmarkStart w:id="112" w:name="_Toc49090511"/>
      <w:r/>
      <w:bookmarkStart w:id="113" w:name="_Toc1457736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12"/>
      <w:r/>
      <w:bookmarkEnd w:id="113"/>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.1投标有效期为采购中心规定的开标之日后</w:t>
      </w:r>
      <w:r>
        <w:rPr>
          <w:rFonts w:hint="eastAsia" w:ascii="仿宋_GB2312" w:hAnsi="仿宋_GB2312"/>
          <w:b/>
          <w:color w:val="000000"/>
          <w:sz w:val="24"/>
          <w:szCs w:val="21"/>
          <w:u w:val="single"/>
          <w:lang w:val="en-US" w:eastAsia="zh-CN"/>
        </w:rPr>
        <w:t xml:space="preserve">九十</w:t>
      </w:r>
      <w:r>
        <w:rPr>
          <w:rFonts w:hint="eastAsia" w:ascii="仿宋_GB2312" w:hAnsi="仿宋_GB2312"/>
          <w:b/>
          <w:color w:val="000000"/>
          <w:sz w:val="24"/>
          <w:szCs w:val="21"/>
          <w:u w:val="single"/>
        </w:rPr>
        <w:t xml:space="preserve">（</w:t>
      </w:r>
      <w:r>
        <w:rPr>
          <w:rFonts w:hint="eastAsia" w:ascii="仿宋_GB2312" w:hAnsi="仿宋_GB2312"/>
          <w:b/>
          <w:color w:val="000000"/>
          <w:sz w:val="24"/>
          <w:szCs w:val="21"/>
          <w:u w:val="single"/>
          <w:lang w:val="en-US" w:eastAsia="zh-CN"/>
        </w:rPr>
        <w:t xml:space="preserve">90</w:t>
      </w:r>
      <w:r>
        <w:rPr>
          <w:rFonts w:hint="eastAsia" w:ascii="仿宋_GB2312" w:hAnsi="仿宋_GB2312"/>
          <w:b/>
          <w:color w:val="000000"/>
          <w:sz w:val="24"/>
          <w:szCs w:val="21"/>
          <w:u w:val="single"/>
        </w:rPr>
        <w:t xml:space="preserve">）天</w:t>
      </w:r>
      <w:r>
        <w:rPr>
          <w:rFonts w:hint="eastAsia" w:ascii="宋体" w:hAnsi="宋体"/>
          <w:bCs/>
          <w:color w:val="000000"/>
          <w:sz w:val="24"/>
          <w:szCs w:val="21"/>
        </w:rPr>
        <w:t xml:space="preserve">。投标有效期比规定短的将被视为未实质性响应招标文件而予以拒绝。</w:t>
      </w:r>
      <w:r/>
    </w:p>
    <w:p>
      <w:pPr>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keepLines/>
        <w:keepNext/>
        <w:spacing w:before="156" w:after="156" w:line="400" w:lineRule="exact"/>
        <w:rPr>
          <w:rFonts w:hint="eastAsia"/>
          <w:b/>
          <w:bCs/>
          <w:color w:val="000000"/>
          <w:sz w:val="32"/>
          <w:szCs w:val="32"/>
        </w:rPr>
        <w:outlineLvl w:val="2"/>
      </w:pPr>
      <w:r/>
      <w:bookmarkStart w:id="114" w:name="_Hlt26954739"/>
      <w:r/>
      <w:bookmarkEnd w:id="114"/>
      <w:r/>
      <w:bookmarkStart w:id="115" w:name="_Hlt26954852"/>
      <w:r/>
      <w:bookmarkEnd w:id="115"/>
      <w:r/>
      <w:bookmarkStart w:id="116" w:name="_Toc513029224"/>
      <w:r/>
      <w:bookmarkStart w:id="117" w:name="_Toc20823296"/>
      <w:r/>
      <w:bookmarkStart w:id="118" w:name="_Toc16938540"/>
      <w:r/>
      <w:bookmarkStart w:id="119" w:name="_Toc120614217"/>
      <w:r>
        <w:rPr>
          <w:rFonts w:hint="eastAsia"/>
          <w:b/>
          <w:bCs/>
          <w:color w:val="000000"/>
          <w:sz w:val="32"/>
          <w:szCs w:val="32"/>
        </w:rPr>
        <w:t xml:space="preserve">四、投标文件的递交</w:t>
      </w:r>
      <w:bookmarkEnd w:id="116"/>
      <w:r/>
      <w:bookmarkEnd w:id="117"/>
      <w:r/>
      <w:bookmarkEnd w:id="118"/>
      <w:r/>
      <w:bookmarkEnd w:id="119"/>
      <w:r/>
      <w:r/>
    </w:p>
    <w:p>
      <w:pPr>
        <w:ind w:firstLine="420"/>
        <w:keepLines/>
        <w:keepNext/>
        <w:spacing w:line="400" w:lineRule="exact"/>
        <w:rPr>
          <w:rFonts w:hint="eastAsia" w:ascii="黑体" w:hAnsi="Arial" w:eastAsia="黑体" w:cs="Arial"/>
          <w:color w:val="000000"/>
          <w:sz w:val="28"/>
          <w:szCs w:val="28"/>
        </w:rPr>
        <w:outlineLvl w:val="3"/>
      </w:pPr>
      <w:r/>
      <w:bookmarkStart w:id="120" w:name="_Toc20823297"/>
      <w:r/>
      <w:bookmarkStart w:id="121" w:name="_Toc513029225"/>
      <w:r/>
      <w:bookmarkStart w:id="122" w:name="_Toc16938541"/>
      <w:r/>
      <w:bookmarkStart w:id="123" w:name="_Toc462564084"/>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20"/>
      <w:r/>
      <w:bookmarkEnd w:id="121"/>
      <w:r/>
      <w:bookmarkEnd w:id="122"/>
      <w:r/>
      <w:bookmarkEnd w:id="123"/>
      <w:r>
        <w:rPr>
          <w:rFonts w:hint="eastAsia" w:ascii="黑体" w:hAnsi="Arial" w:eastAsia="黑体" w:cs="Arial"/>
          <w:color w:val="000000"/>
          <w:sz w:val="28"/>
          <w:szCs w:val="28"/>
        </w:rPr>
        <w:t xml:space="preserve">的递交</w:t>
      </w:r>
      <w:r/>
    </w:p>
    <w:p>
      <w:pPr>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p>
    <w:p>
      <w:pPr>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24" w:name="_Toc20823298"/>
      <w:r/>
      <w:bookmarkStart w:id="125" w:name="_Toc16938542"/>
      <w:r/>
      <w:bookmarkStart w:id="126" w:name="_Toc513029226"/>
      <w:r/>
      <w:r/>
    </w:p>
    <w:p>
      <w:pPr>
        <w:ind w:firstLine="420"/>
        <w:keepLines/>
        <w:keepNext/>
        <w:spacing w:before="280" w:after="290" w:line="4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、投标截止日期</w:t>
      </w:r>
      <w:bookmarkEnd w:id="124"/>
      <w:r/>
      <w:bookmarkEnd w:id="125"/>
      <w:r/>
      <w:bookmarkEnd w:id="126"/>
      <w:r/>
      <w:r/>
    </w:p>
    <w:p>
      <w:pPr>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p>
    <w:p>
      <w:pPr>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采购中心可以按照规定，通过修改招标文件酌情延长投标截止日期，在此情况下，投标人的所有权利和义务以及投标人受制的截止日期均应以延长后新的截止日期为准。</w:t>
      </w:r>
      <w:r/>
    </w:p>
    <w:p>
      <w:pPr>
        <w:ind w:firstLine="420"/>
        <w:keepLines/>
        <w:keepNext/>
        <w:spacing w:line="400" w:lineRule="exact"/>
        <w:rPr>
          <w:rFonts w:hint="eastAsia" w:ascii="Arial" w:hAnsi="Arial" w:eastAsia="黑体" w:cs="Arial"/>
          <w:color w:val="000000"/>
          <w:sz w:val="28"/>
          <w:szCs w:val="28"/>
        </w:rPr>
        <w:outlineLvl w:val="3"/>
      </w:pPr>
      <w:r/>
      <w:bookmarkStart w:id="127" w:name="_Toc16938543"/>
      <w:r/>
      <w:bookmarkStart w:id="128" w:name="_Toc513029227"/>
      <w:r/>
      <w:bookmarkStart w:id="129" w:name="_Toc20823299"/>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27"/>
      <w:r/>
      <w:bookmarkEnd w:id="128"/>
      <w:r/>
      <w:bookmarkEnd w:id="129"/>
      <w:r>
        <w:rPr>
          <w:rFonts w:hint="eastAsia" w:ascii="Arial" w:hAnsi="Arial" w:eastAsia="黑体" w:cs="Arial"/>
          <w:color w:val="000000"/>
          <w:sz w:val="28"/>
          <w:szCs w:val="28"/>
        </w:rPr>
        <w:t xml:space="preserve">的拒收</w:t>
      </w:r>
      <w:r/>
    </w:p>
    <w:p>
      <w:pPr>
        <w:ind w:firstLine="480"/>
        <w:spacing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采购中心拒绝接收在其规定的投标截止时间后上传的任何投标文件。</w:t>
      </w:r>
      <w:r/>
    </w:p>
    <w:p>
      <w:pPr>
        <w:ind w:firstLine="420"/>
        <w:keepLines/>
        <w:keepNext/>
        <w:spacing w:line="400" w:lineRule="exact"/>
        <w:rPr>
          <w:rFonts w:hint="eastAsia" w:ascii="Arial" w:hAnsi="Arial" w:eastAsia="黑体" w:cs="Arial"/>
          <w:color w:val="000000"/>
          <w:sz w:val="28"/>
          <w:szCs w:val="28"/>
        </w:rPr>
        <w:outlineLvl w:val="3"/>
      </w:pPr>
      <w:r/>
      <w:bookmarkStart w:id="130" w:name="_Toc513029228"/>
      <w:r/>
      <w:bookmarkStart w:id="131" w:name="_Toc16938544"/>
      <w:r/>
      <w:bookmarkStart w:id="132" w:name="_Toc2082330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30"/>
      <w:r/>
      <w:bookmarkEnd w:id="131"/>
      <w:r/>
      <w:bookmarkEnd w:id="132"/>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p>
    <w:p>
      <w:pPr>
        <w:ind w:firstLine="480"/>
        <w:keepLines/>
        <w:keepNext/>
        <w:spacing w:before="156" w:after="156" w:line="400" w:lineRule="exact"/>
        <w:rPr>
          <w:rFonts w:hint="eastAsia"/>
          <w:b/>
          <w:bCs/>
          <w:color w:val="000000"/>
          <w:sz w:val="32"/>
          <w:szCs w:val="32"/>
        </w:rPr>
        <w:outlineLvl w:val="2"/>
      </w:pPr>
      <w:r/>
      <w:bookmarkStart w:id="133" w:name="_Toc20823301"/>
      <w:r/>
      <w:bookmarkStart w:id="134" w:name="_Toc120614218"/>
      <w:r/>
      <w:bookmarkStart w:id="135" w:name="_Toc16938545"/>
      <w:r/>
      <w:bookmarkStart w:id="136" w:name="_Toc513029229"/>
      <w:r>
        <w:rPr>
          <w:rFonts w:hint="eastAsia"/>
          <w:b/>
          <w:bCs/>
          <w:color w:val="000000"/>
          <w:sz w:val="32"/>
          <w:szCs w:val="32"/>
        </w:rPr>
        <w:t xml:space="preserve">五、开标与评标</w:t>
      </w:r>
      <w:bookmarkEnd w:id="133"/>
      <w:r/>
      <w:bookmarkEnd w:id="134"/>
      <w:r/>
      <w:bookmarkEnd w:id="135"/>
      <w:r/>
      <w:bookmarkEnd w:id="136"/>
      <w:r/>
      <w:r/>
    </w:p>
    <w:p>
      <w:pPr>
        <w:ind w:firstLine="420"/>
        <w:keepLines/>
        <w:keepNext/>
        <w:spacing w:line="400" w:lineRule="exact"/>
        <w:rPr>
          <w:rFonts w:hint="eastAsia" w:ascii="Arial" w:hAnsi="Arial" w:eastAsia="黑体" w:cs="Arial"/>
          <w:color w:val="000000"/>
          <w:sz w:val="28"/>
          <w:szCs w:val="28"/>
        </w:rPr>
        <w:outlineLvl w:val="3"/>
      </w:pPr>
      <w:r/>
      <w:bookmarkStart w:id="137" w:name="_Toc16938546"/>
      <w:r/>
      <w:bookmarkStart w:id="138" w:name="_Toc513029230"/>
      <w:r/>
      <w:bookmarkStart w:id="139" w:name="_Toc2082330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37"/>
      <w:r/>
      <w:bookmarkEnd w:id="138"/>
      <w:r/>
      <w:bookmarkEnd w:id="139"/>
      <w:r/>
      <w:r/>
    </w:p>
    <w:p>
      <w:pPr>
        <w:ind w:firstLine="480"/>
        <w:spacing w:line="400" w:lineRule="exact"/>
        <w:rPr>
          <w:rFonts w:hint="eastAsia"/>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ind w:firstLine="480"/>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400" w:lineRule="exact"/>
        <w:rPr>
          <w:rFonts w:hint="eastAsia" w:ascii="Arial" w:hAnsi="Arial" w:eastAsia="黑体" w:cs="Arial"/>
          <w:sz w:val="28"/>
          <w:szCs w:val="28"/>
        </w:rPr>
        <w:outlineLvl w:val="3"/>
      </w:pPr>
      <w:r/>
      <w:bookmarkStart w:id="140" w:name="_Toc20823303"/>
      <w:r/>
      <w:bookmarkStart w:id="141" w:name="_Toc16938547"/>
      <w:r/>
      <w:bookmarkStart w:id="142" w:name="_Toc513029231"/>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开标后，采购中心将立即组织评标委员会（以下简称评委会）进行评标。</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 评委会由采购人代表和有关技术、经济等方面的专家组成，且人员构成符合政府采购有关规定。</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.3评委会独立工作，负责评审所有投标文件并确定中标</w:t>
      </w:r>
      <w:r>
        <w:rPr>
          <w:rFonts w:hint="eastAsia" w:ascii="宋体" w:hAnsi="宋体"/>
          <w:color w:val="000000"/>
          <w:sz w:val="24"/>
          <w:szCs w:val="24"/>
          <w:lang w:val="en-US" w:eastAsia="zh-CN"/>
        </w:rPr>
        <w:t xml:space="preserve">候选人</w:t>
      </w:r>
      <w:r>
        <w:rPr>
          <w:rFonts w:hint="eastAsia" w:ascii="宋体" w:hAnsi="宋体"/>
          <w:color w:val="000000"/>
          <w:sz w:val="24"/>
          <w:szCs w:val="24"/>
        </w:rPr>
        <w:t xml:space="preserve">。</w:t>
      </w:r>
      <w:r/>
    </w:p>
    <w:p>
      <w:pPr>
        <w:ind w:firstLine="420"/>
        <w:keepLines/>
        <w:keepNext/>
        <w:spacing w:line="4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bookmarkEnd w:id="140"/>
      <w:r/>
      <w:bookmarkEnd w:id="141"/>
      <w:r/>
      <w:bookmarkEnd w:id="142"/>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凡是与审查、澄清、评价和比较投标的有关资料以及授标建议等，采购人、评委、采购中心均不得向投标人或与评标无关的其他人员透露。</w:t>
      </w:r>
      <w:r/>
    </w:p>
    <w:p>
      <w:pPr>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p>
    <w:p>
      <w:pPr>
        <w:ind w:firstLine="420"/>
        <w:keepLines/>
        <w:keepNext/>
        <w:spacing w:line="400" w:lineRule="exact"/>
        <w:rPr>
          <w:rFonts w:hint="eastAsia" w:ascii="Arial" w:hAnsi="Arial" w:eastAsia="黑体" w:cs="Arial"/>
          <w:color w:val="000000"/>
          <w:sz w:val="28"/>
          <w:szCs w:val="28"/>
        </w:rPr>
        <w:outlineLvl w:val="3"/>
      </w:pPr>
      <w:r/>
      <w:bookmarkStart w:id="143" w:name="_Toc20823304"/>
      <w:r/>
      <w:bookmarkStart w:id="144" w:name="_Toc513029232"/>
      <w:r/>
      <w:bookmarkStart w:id="145" w:name="_Toc1693854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43"/>
      <w:r/>
      <w:bookmarkEnd w:id="144"/>
      <w:r/>
      <w:bookmarkEnd w:id="145"/>
      <w:r/>
      <w:r/>
    </w:p>
    <w:p>
      <w:pPr>
        <w:ind w:firstLine="480"/>
        <w:spacing w:line="400" w:lineRule="exact"/>
        <w:rPr>
          <w:rFonts w:ascii="宋体" w:hAnsi="宋体"/>
          <w:color w:val="000000"/>
          <w:sz w:val="24"/>
          <w:szCs w:val="24"/>
        </w:rPr>
      </w:pPr>
      <w:r/>
      <w:bookmarkStart w:id="146" w:name="_Toc20823305"/>
      <w:r/>
      <w:bookmarkStart w:id="147" w:name="_Toc513029233"/>
      <w:r/>
      <w:bookmarkStart w:id="148" w:name="_Toc16938549"/>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.2需要供应商进行澄清、说明和补正的，评委</w:t>
      </w:r>
      <w:r>
        <w:rPr>
          <w:rFonts w:hint="eastAsia" w:ascii="宋体" w:hAnsi="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接到评委会澄清、说明和补正要求的投标人如未按规定做出澄清、说明和补正，其风险由投标人自行承担。</w:t>
      </w:r>
      <w:r/>
    </w:p>
    <w:p>
      <w:pPr>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bookmarkEnd w:id="146"/>
      <w:r/>
      <w:bookmarkEnd w:id="147"/>
      <w:r/>
      <w:bookmarkEnd w:id="148"/>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bCs/>
          <w:color w:val="000000"/>
          <w:szCs w:val="21"/>
        </w:rPr>
        <w:t xml:space="preserve">（www.creditchina.gov.cn）</w:t>
      </w:r>
      <w:r>
        <w:rPr>
          <w:rFonts w:hint="eastAsia" w:ascii="宋体" w:hAnsi="宋体"/>
          <w:bCs/>
          <w:color w:val="000000"/>
          <w:sz w:val="24"/>
          <w:szCs w:val="21"/>
        </w:rPr>
        <w:t xml:space="preserve">查询投标人的信用记录，以确定投标人是否具备投标资格,查询结果留存并归档。</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未通过资格审查或符合性审查的投标人，采购中心将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中告知未通过资格审查或符合性审查的原因，评审结束后，采购中心将不再告知未通过资格审查或符合性审查的原因。</w:t>
      </w:r>
      <w:r/>
    </w:p>
    <w:p>
      <w:pPr>
        <w:ind w:firstLine="480"/>
        <w:spacing w:line="400" w:lineRule="exact"/>
        <w:rPr>
          <w:rFonts w:hint="eastAsia"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在详细评标之前，评委会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400" w:lineRule="exact"/>
        <w:rPr>
          <w:rFonts w:ascii="宋体" w:hAnsi="宋体"/>
          <w:color w:val="000000"/>
          <w:sz w:val="24"/>
          <w:szCs w:val="21"/>
        </w:rPr>
      </w:pPr>
      <w:r/>
      <w:bookmarkStart w:id="149" w:name="_Toc20823306"/>
      <w:r/>
      <w:bookmarkStart w:id="150" w:name="_Toc16938550"/>
      <w:r/>
      <w:bookmarkStart w:id="151" w:name="_Toc513029234"/>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ind w:firstLine="420"/>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ind w:firstLine="420"/>
        <w:spacing w:line="400" w:lineRule="exact"/>
        <w:rPr>
          <w:rFonts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并安排专人与采购中心及评标委员会联系。</w:t>
      </w:r>
      <w:r/>
    </w:p>
    <w:p>
      <w:pPr>
        <w:ind w:firstLine="420"/>
        <w:spacing w:line="400" w:lineRule="exact"/>
        <w:rPr>
          <w:rFonts w:hint="eastAsia" w:ascii="宋体" w:hAnsi="宋体"/>
          <w:sz w:val="24"/>
          <w:szCs w:val="21"/>
        </w:rPr>
      </w:pPr>
      <w:r>
        <w:rPr>
          <w:rFonts w:hint="eastAsia" w:ascii="宋体" w:hAnsi="宋体"/>
          <w:sz w:val="24"/>
          <w:szCs w:val="21"/>
        </w:rPr>
        <w:t xml:space="preserve">25.8 异常低价投标审查</w:t>
      </w:r>
      <w:r/>
    </w:p>
    <w:p>
      <w:pPr>
        <w:ind w:firstLine="420"/>
        <w:spacing w:line="400" w:lineRule="exact"/>
        <w:rPr>
          <w:rFonts w:hint="eastAsia" w:ascii="宋体" w:hAnsi="宋体"/>
          <w:sz w:val="24"/>
          <w:szCs w:val="21"/>
        </w:rPr>
      </w:pPr>
      <w:r>
        <w:rPr>
          <w:rFonts w:hint="eastAsia" w:ascii="宋体" w:hAnsi="宋体"/>
          <w:sz w:val="24"/>
          <w:szCs w:val="21"/>
        </w:rPr>
        <w:t xml:space="preserve">25.8.1 评标过程中出现下列情形之一的，评标委员会应当启动异常低价投标审查程序：</w:t>
      </w:r>
      <w:r/>
    </w:p>
    <w:p>
      <w:pPr>
        <w:ind w:firstLine="420"/>
        <w:spacing w:line="400" w:lineRule="exact"/>
        <w:rPr>
          <w:rFonts w:hint="eastAsia" w:ascii="宋体" w:hAnsi="宋体"/>
          <w:sz w:val="24"/>
          <w:szCs w:val="21"/>
        </w:rPr>
      </w:pPr>
      <w:r>
        <w:rPr>
          <w:rFonts w:hint="eastAsia" w:ascii="宋体" w:hAnsi="宋体"/>
          <w:sz w:val="24"/>
          <w:szCs w:val="21"/>
        </w:rPr>
        <w:t xml:space="preserve">（1）投标报价低于采购项目预算50%的，即投标报价＜采购项目预算×50%；</w:t>
      </w:r>
      <w:r/>
    </w:p>
    <w:p>
      <w:pPr>
        <w:ind w:firstLine="420"/>
        <w:spacing w:line="400" w:lineRule="exact"/>
        <w:rPr>
          <w:rFonts w:hint="eastAsia" w:ascii="宋体" w:hAnsi="宋体"/>
          <w:sz w:val="24"/>
          <w:szCs w:val="21"/>
        </w:rPr>
      </w:pPr>
      <w:r>
        <w:rPr>
          <w:rFonts w:hint="eastAsia" w:ascii="宋体" w:hAnsi="宋体"/>
          <w:sz w:val="24"/>
          <w:szCs w:val="21"/>
        </w:rPr>
        <w:t xml:space="preserve">（2）投标报价低于采购项目最高限价45%的，即投标报价＜采购项目最高限价×45%；</w:t>
      </w:r>
      <w:r/>
    </w:p>
    <w:p>
      <w:pPr>
        <w:ind w:firstLine="420"/>
        <w:spacing w:line="400" w:lineRule="exact"/>
        <w:rPr>
          <w:rFonts w:hint="eastAsia" w:ascii="宋体" w:hAnsi="宋体"/>
          <w:sz w:val="24"/>
          <w:szCs w:val="21"/>
        </w:rPr>
      </w:pPr>
      <w:r>
        <w:rPr>
          <w:rFonts w:hint="eastAsia" w:ascii="宋体" w:hAnsi="宋体"/>
          <w:sz w:val="24"/>
          <w:szCs w:val="21"/>
        </w:rPr>
        <w:t xml:space="preserve">（3）评标委员会认定的供应商报价过低、有可能影响产品质量或者不能诚信履约的其他情形。</w:t>
      </w:r>
      <w:r/>
    </w:p>
    <w:p>
      <w:pPr>
        <w:ind w:firstLine="420"/>
        <w:spacing w:line="400" w:lineRule="exact"/>
        <w:rPr>
          <w:rFonts w:hint="eastAsia" w:ascii="宋体" w:hAnsi="宋体"/>
          <w:sz w:val="24"/>
          <w:szCs w:val="21"/>
        </w:rPr>
      </w:pPr>
      <w:r>
        <w:rPr>
          <w:rFonts w:hint="eastAsia" w:ascii="宋体" w:hAnsi="宋体"/>
          <w:sz w:val="24"/>
          <w:szCs w:val="21"/>
        </w:rPr>
        <w:t xml:space="preserve">25.8.2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49"/>
      <w:r/>
      <w:bookmarkEnd w:id="150"/>
      <w:r/>
      <w:bookmarkEnd w:id="151"/>
      <w:r>
        <w:rPr>
          <w:rFonts w:hint="eastAsia" w:ascii="Arial" w:hAnsi="Arial" w:eastAsia="黑体" w:cs="Arial"/>
          <w:sz w:val="28"/>
          <w:szCs w:val="28"/>
        </w:rPr>
        <w:t xml:space="preserve">无效投标条款和废标条款</w:t>
      </w:r>
      <w:r/>
    </w:p>
    <w:p>
      <w:pPr>
        <w:ind w:left="478"/>
        <w:spacing w:line="400" w:lineRule="exact"/>
        <w:rPr>
          <w:rFonts w:hint="eastAsia" w:ascii="宋体" w:hAnsi="宋体"/>
          <w:bCs/>
          <w:sz w:val="24"/>
          <w:szCs w:val="21"/>
        </w:rPr>
      </w:pPr>
      <w:r/>
      <w:bookmarkStart w:id="152" w:name="_Toc16938551"/>
      <w:r/>
      <w:bookmarkStart w:id="153" w:name="_Toc513029235"/>
      <w:r/>
      <w:bookmarkStart w:id="154" w:name="_Toc20823307"/>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p>
    <w:p>
      <w:pPr>
        <w:ind w:firstLine="480"/>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w:t>
      </w:r>
      <w:r>
        <w:rPr>
          <w:rFonts w:hint="eastAsia" w:ascii="宋体" w:hAnsi="宋体"/>
          <w:bCs/>
          <w:color w:val="000000"/>
          <w:sz w:val="24"/>
          <w:szCs w:val="21"/>
        </w:rPr>
        <w:t xml:space="preserve">要求上传电子投标文件的。</w:t>
      </w:r>
      <w:r/>
    </w:p>
    <w:p>
      <w:pPr>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color w:val="000000"/>
          <w:sz w:val="24"/>
          <w:szCs w:val="21"/>
        </w:rPr>
        <w:t xml:space="preserve">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p>
    <w:p>
      <w:pPr>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ind w:firstLine="48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p>
    <w:p>
      <w:pPr>
        <w:ind w:firstLine="36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不符合招标文件中规定的实质性要求的</w:t>
      </w:r>
      <w:r>
        <w:rPr>
          <w:rFonts w:hint="eastAsia" w:ascii="宋体" w:hAnsi="宋体"/>
          <w:b/>
          <w:bCs/>
          <w:sz w:val="24"/>
          <w:szCs w:val="21"/>
        </w:rPr>
        <w:t xml:space="preserve">（本招标文件中加*号条款为实质性要求）</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p>
    <w:p>
      <w:pPr>
        <w:ind w:firstLine="480"/>
        <w:spacing w:line="400" w:lineRule="exact"/>
        <w:rPr>
          <w:rFonts w:hint="eastAsia" w:ascii="宋体" w:hAnsi="宋体"/>
          <w:sz w:val="24"/>
          <w:szCs w:val="21"/>
        </w:rPr>
      </w:pPr>
      <w:r>
        <w:rPr>
          <w:rFonts w:hint="eastAsia" w:ascii="宋体" w:hAnsi="宋体"/>
          <w:sz w:val="24"/>
          <w:szCs w:val="21"/>
        </w:rPr>
        <w:t xml:space="preserve">26.1.10 评标委员会按照本招标文件规定对投标人进行异常低价投标审查后，认为投标人不能证明其报价合理性的。</w:t>
      </w:r>
      <w:r/>
    </w:p>
    <w:p>
      <w:pPr>
        <w:ind w:firstLine="560"/>
        <w:spacing w:line="400" w:lineRule="exact"/>
        <w:rPr>
          <w:rFonts w:hint="eastAsia" w:ascii="方正魏碑_GBK" w:hAnsi="方正魏碑_GBK" w:eastAsia="方正魏碑_GBK" w:cs="方正魏碑_GBK"/>
          <w:bCs/>
          <w:color w:val="ff0000"/>
          <w:sz w:val="28"/>
          <w:szCs w:val="28"/>
        </w:rPr>
      </w:pPr>
      <w:r>
        <w:rPr>
          <w:rFonts w:hint="eastAsia" w:ascii="方正魏碑_GBK" w:hAnsi="方正魏碑_GBK" w:eastAsia="方正魏碑_GBK" w:cs="方正魏碑_GBK"/>
          <w:bCs/>
          <w:color w:val="ff0000"/>
          <w:sz w:val="28"/>
          <w:szCs w:val="28"/>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p>
    <w:p>
      <w:pPr>
        <w:ind w:firstLine="560"/>
        <w:spacing w:line="400" w:lineRule="exact"/>
        <w:rPr>
          <w:rFonts w:hint="eastAsia" w:ascii="方正魏碑_GBK" w:hAnsi="方正魏碑_GBK" w:eastAsia="方正魏碑_GBK" w:cs="方正魏碑_GBK"/>
          <w:bCs/>
          <w:color w:val="ff0000"/>
          <w:sz w:val="28"/>
          <w:szCs w:val="28"/>
        </w:rPr>
      </w:pPr>
      <w:r>
        <w:rPr>
          <w:rFonts w:hint="eastAsia" w:ascii="方正魏碑_GBK" w:hAnsi="方正魏碑_GBK" w:eastAsia="方正魏碑_GBK" w:cs="方正魏碑_GBK"/>
          <w:bCs/>
          <w:color w:val="ff0000"/>
          <w:sz w:val="28"/>
          <w:szCs w:val="28"/>
        </w:rPr>
        <w:t xml:space="preserve">26.1.13 投标人所投标产品不符合招标文件中所列国家强制性标准的。</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.1.14其他法律、法规及本招标文件规定的属无效投标的情形。</w:t>
      </w:r>
      <w:r/>
    </w:p>
    <w:p>
      <w:pPr>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.2废标条款 </w:t>
      </w:r>
      <w:r/>
    </w:p>
    <w:p>
      <w:pPr>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.2.1符合专业条件的供应商或者对招标文件作实质响应的供应商不足三</w:t>
      </w:r>
      <w:r/>
    </w:p>
    <w:p>
      <w:pPr>
        <w:spacing w:line="400" w:lineRule="exact"/>
        <w:rPr>
          <w:rFonts w:ascii="宋体" w:hAnsi="宋体"/>
          <w:bCs/>
          <w:color w:val="000000"/>
          <w:sz w:val="24"/>
          <w:szCs w:val="21"/>
        </w:rPr>
      </w:pPr>
      <w:r>
        <w:rPr>
          <w:rFonts w:hint="eastAsia" w:ascii="宋体" w:hAnsi="宋体"/>
          <w:bCs/>
          <w:color w:val="000000"/>
          <w:sz w:val="24"/>
          <w:szCs w:val="21"/>
        </w:rPr>
        <w:t xml:space="preserve">家的。</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p>
    <w:p>
      <w:pPr>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.2.3因重大变故，采购任务取消的。</w:t>
      </w:r>
      <w:r/>
    </w:p>
    <w:p>
      <w:pPr>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.2.4评标委员会认定招标文件存在歧义、重大缺陷导致评审工作无法进</w:t>
      </w:r>
      <w:r/>
    </w:p>
    <w:p>
      <w:pPr>
        <w:spacing w:line="400" w:lineRule="exact"/>
        <w:rPr>
          <w:rFonts w:ascii="宋体" w:hAnsi="宋体"/>
          <w:bCs/>
          <w:color w:val="000000"/>
          <w:sz w:val="24"/>
          <w:szCs w:val="21"/>
        </w:rPr>
      </w:pPr>
      <w:r>
        <w:rPr>
          <w:rFonts w:hint="eastAsia" w:ascii="宋体" w:hAnsi="宋体"/>
          <w:bCs/>
          <w:color w:val="000000"/>
          <w:sz w:val="24"/>
          <w:szCs w:val="21"/>
        </w:rPr>
        <w:t xml:space="preserve">行。</w:t>
      </w:r>
      <w:r/>
    </w:p>
    <w:p>
      <w:pPr>
        <w:ind w:left="478"/>
        <w:spacing w:line="400" w:lineRule="exact"/>
        <w:rPr>
          <w:rFonts w:ascii="宋体" w:hAnsi="宋体"/>
          <w:bCs/>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w:t>
      </w:r>
      <w:r>
        <w:rPr>
          <w:rFonts w:hint="eastAsia" w:ascii="宋体" w:hAnsi="宋体"/>
          <w:bCs/>
          <w:sz w:val="24"/>
          <w:szCs w:val="21"/>
        </w:rPr>
        <w:t xml:space="preserve">.5 因</w:t>
      </w:r>
      <w:r>
        <w:rPr>
          <w:rFonts w:hint="eastAsia" w:ascii="宋体" w:hAnsi="宋体"/>
          <w:sz w:val="24"/>
          <w:szCs w:val="24"/>
        </w:rPr>
        <w:t xml:space="preserve">苏采云</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rPr>
        <w:t xml:space="preserve">  </w:t>
      </w:r>
      <w:r/>
    </w:p>
    <w:p>
      <w:pPr>
        <w:ind w:left="478"/>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 投标截止时间结束后</w:t>
      </w:r>
      <w:r>
        <w:rPr>
          <w:rFonts w:hint="eastAsia" w:ascii="宋体" w:hAnsi="宋体"/>
          <w:bCs/>
          <w:color w:val="000000"/>
          <w:sz w:val="24"/>
          <w:szCs w:val="21"/>
        </w:rPr>
        <w:t xml:space="preserve">参加投标的供应商不足三家的处理：</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p>
    <w:p>
      <w:pPr>
        <w:ind w:firstLine="480"/>
        <w:keepLines/>
        <w:keepNext/>
        <w:spacing w:before="156" w:after="156" w:line="400" w:lineRule="exact"/>
        <w:rPr>
          <w:rFonts w:hint="eastAsia"/>
          <w:b/>
          <w:bCs/>
          <w:color w:val="000000"/>
          <w:sz w:val="32"/>
          <w:szCs w:val="32"/>
        </w:rPr>
        <w:outlineLvl w:val="2"/>
      </w:pPr>
      <w:r/>
      <w:bookmarkStart w:id="155" w:name="_Toc120614219"/>
      <w:r>
        <w:rPr>
          <w:rFonts w:hint="eastAsia"/>
          <w:b/>
          <w:bCs/>
          <w:color w:val="000000"/>
          <w:sz w:val="32"/>
          <w:szCs w:val="32"/>
        </w:rPr>
        <w:t xml:space="preserve">六、</w:t>
      </w:r>
      <w:bookmarkEnd w:id="152"/>
      <w:r/>
      <w:bookmarkEnd w:id="153"/>
      <w:r/>
      <w:bookmarkEnd w:id="154"/>
      <w:r>
        <w:rPr>
          <w:rFonts w:hint="eastAsia"/>
          <w:b/>
          <w:bCs/>
          <w:color w:val="000000"/>
          <w:sz w:val="32"/>
          <w:szCs w:val="32"/>
        </w:rPr>
        <w:t xml:space="preserve">定标</w:t>
      </w:r>
      <w:bookmarkEnd w:id="155"/>
      <w:r/>
      <w:r/>
    </w:p>
    <w:p>
      <w:pPr>
        <w:ind w:firstLine="600"/>
        <w:keepLines/>
        <w:keepNext/>
        <w:spacing w:line="400" w:lineRule="exact"/>
        <w:rPr>
          <w:rFonts w:hint="eastAsia" w:ascii="黑体" w:hAnsi="宋体" w:eastAsia="黑体"/>
          <w:bCs/>
          <w:color w:val="000000"/>
          <w:sz w:val="30"/>
          <w:szCs w:val="30"/>
        </w:rPr>
        <w:outlineLvl w:val="3"/>
      </w:pPr>
      <w:r/>
      <w:bookmarkStart w:id="156" w:name="_Toc513029238"/>
      <w:r/>
      <w:bookmarkStart w:id="157" w:name="_Toc16938554"/>
      <w:r/>
      <w:bookmarkStart w:id="158"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56"/>
      <w:r>
        <w:rPr>
          <w:rFonts w:hint="eastAsia" w:ascii="黑体" w:hAnsi="宋体" w:eastAsia="黑体"/>
          <w:bCs/>
          <w:color w:val="000000"/>
          <w:sz w:val="30"/>
          <w:szCs w:val="30"/>
        </w:rPr>
        <w:t xml:space="preserve">确定</w:t>
      </w:r>
      <w:bookmarkEnd w:id="157"/>
      <w:r/>
      <w:bookmarkEnd w:id="158"/>
      <w:r>
        <w:rPr>
          <w:rFonts w:hint="eastAsia" w:ascii="黑体" w:hAnsi="宋体" w:eastAsia="黑体"/>
          <w:bCs/>
          <w:color w:val="000000"/>
          <w:sz w:val="30"/>
          <w:szCs w:val="30"/>
        </w:rPr>
        <w:t xml:space="preserve">中标单位</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27.2 采购人应根据评委会推荐的中标候选人确定中标供应商。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采购中心将在“江苏政府采购网”发布中标公告，公告期限为1个工作日。</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 若有充分证据证明，中标供应商出现下列情况之一的，一经查实，将被取消中标资格：</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27.4.2向采购人、采购中心行贿或者提供其他不正当利益的。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p>
    <w:p>
      <w:pPr>
        <w:ind w:firstLine="480"/>
        <w:spacing w:line="400" w:lineRule="exact"/>
        <w:rPr>
          <w:rFonts w:ascii="宋体" w:hAnsi="宋体"/>
          <w:color w:val="000000"/>
          <w:sz w:val="24"/>
          <w:szCs w:val="24"/>
        </w:rPr>
      </w:pPr>
      <w:r/>
      <w:bookmarkStart w:id="159"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p>
    <w:p>
      <w:pPr>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59"/>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00" w:lineRule="exact"/>
        <w:rPr>
          <w:rFonts w:hint="eastAsia"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rPr>
          <w:rFonts w:hAnsi="宋体" w:cs="宋体"/>
          <w:color w:val="000000"/>
          <w:sz w:val="24"/>
          <w:szCs w:val="24"/>
        </w:rPr>
        <w:br/>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rPr>
          <w:rFonts w:hAnsi="宋体" w:cs="宋体"/>
          <w:color w:val="000000"/>
          <w:sz w:val="24"/>
          <w:szCs w:val="24"/>
        </w:rPr>
        <w:br/>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spacing w:line="400" w:lineRule="exact"/>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供应商应当在法定质疑期内一次性提出针对同一采购程序环节的质疑。供应商如在法定期限内对同一采购程序环节提出多次质疑的，采购中心、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 供应商（含潜在</w:t>
      </w:r>
      <w:r>
        <w:rPr>
          <w:rFonts w:ascii="宋体" w:hAnsi="宋体"/>
          <w:sz w:val="24"/>
          <w:szCs w:val="24"/>
        </w:rPr>
        <w:t xml:space="preserve">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0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采购人及采购中心只接收以纸质原件形式送达的质疑,建议供应商尽量通过邮寄方式提交质疑（采购人和采购中心不接受无快递运</w:t>
      </w:r>
      <w:r>
        <w:rPr>
          <w:rFonts w:ascii="宋体" w:hAnsi="宋体"/>
          <w:sz w:val="24"/>
          <w:szCs w:val="24"/>
        </w:rPr>
        <w:t xml:space="preserve">单号</w:t>
      </w:r>
      <w:r>
        <w:rPr>
          <w:rFonts w:hint="eastAsia" w:ascii="宋体" w:hAnsi="宋体"/>
          <w:sz w:val="24"/>
          <w:szCs w:val="24"/>
        </w:rPr>
        <w:t xml:space="preserve">的快递）。</w:t>
      </w:r>
      <w:r/>
    </w:p>
    <w:p>
      <w:pPr>
        <w:ind w:firstLine="480"/>
        <w:spacing w:line="400" w:lineRule="exact"/>
        <w:rPr>
          <w:rFonts w:hint="eastAsia" w:ascii="宋体" w:hAnsi="宋体"/>
          <w:sz w:val="24"/>
          <w:szCs w:val="24"/>
        </w:rPr>
      </w:pPr>
      <w:r>
        <w:rPr>
          <w:rFonts w:hint="eastAsia" w:ascii="宋体" w:hAnsi="宋体"/>
          <w:sz w:val="24"/>
          <w:szCs w:val="24"/>
        </w:rPr>
        <w:t xml:space="preserve">采购中心质疑接收地址：江苏省淮安市金湖县园林南路288号</w:t>
      </w:r>
      <w:r>
        <w:rPr>
          <w:rFonts w:hint="eastAsia" w:ascii="宋体" w:hAnsi="宋体"/>
          <w:sz w:val="24"/>
          <w:szCs w:val="24"/>
          <w:lang w:val="en-US" w:eastAsia="zh-CN"/>
        </w:rPr>
        <w:t xml:space="preserve">3楼业务一部</w:t>
      </w:r>
      <w:r>
        <w:rPr>
          <w:rFonts w:hint="eastAsia" w:ascii="宋体" w:hAnsi="宋体"/>
          <w:sz w:val="24"/>
          <w:szCs w:val="24"/>
        </w:rPr>
        <w:t xml:space="preserve">，联系电话：</w:t>
      </w:r>
      <w:r>
        <w:rPr>
          <w:rFonts w:hint="eastAsia" w:ascii="宋体" w:hAnsi="宋体"/>
          <w:sz w:val="24"/>
          <w:szCs w:val="24"/>
          <w:lang w:val="en-US" w:eastAsia="zh-CN"/>
        </w:rPr>
        <w:t xml:space="preserve">0517-86986001</w:t>
      </w:r>
      <w:r>
        <w:rPr>
          <w:rFonts w:hint="eastAsia" w:ascii="宋体" w:hAnsi="宋体"/>
          <w:sz w:val="24"/>
          <w:szCs w:val="24"/>
        </w:rPr>
        <w:t xml:space="preserve">。</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p>
    <w:p>
      <w:pPr>
        <w:ind w:firstLine="468"/>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p>
    <w:p>
      <w:pPr>
        <w:ind w:firstLine="600"/>
        <w:spacing w:line="400" w:lineRule="exact"/>
        <w:rPr>
          <w:rFonts w:hint="eastAsia"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l中标结果确定后，采购中心将向中标供应商发出中标通知书。请中标供应商在中标结果公告届满之日起30日内,使用CA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400" w:lineRule="exact"/>
        <w:rPr>
          <w:rFonts w:hint="eastAsia"/>
          <w:b/>
          <w:bCs/>
          <w:color w:val="000000"/>
          <w:sz w:val="32"/>
          <w:szCs w:val="32"/>
        </w:rPr>
        <w:outlineLvl w:val="2"/>
      </w:pPr>
      <w:r/>
      <w:bookmarkStart w:id="160" w:name="_Toc120614220"/>
      <w:r/>
      <w:bookmarkStart w:id="161" w:name="_Toc16938552"/>
      <w:r/>
      <w:bookmarkStart w:id="162" w:name="_Toc20823308"/>
      <w:r/>
      <w:bookmarkStart w:id="163" w:name="_Toc513029236"/>
      <w:r>
        <w:rPr>
          <w:rFonts w:hint="eastAsia"/>
          <w:b/>
          <w:bCs/>
          <w:color w:val="000000"/>
          <w:sz w:val="32"/>
          <w:szCs w:val="32"/>
        </w:rPr>
        <w:t xml:space="preserve">七、授予合同</w:t>
      </w:r>
      <w:bookmarkEnd w:id="160"/>
      <w:r/>
      <w:bookmarkEnd w:id="161"/>
      <w:r/>
      <w:bookmarkEnd w:id="162"/>
      <w:r/>
      <w:bookmarkEnd w:id="163"/>
      <w:r/>
      <w:r/>
    </w:p>
    <w:p>
      <w:pPr>
        <w:ind w:firstLine="600"/>
        <w:keepLines/>
        <w:keepNext/>
        <w:spacing w:line="400" w:lineRule="exact"/>
        <w:rPr>
          <w:rFonts w:hint="eastAsia" w:ascii="黑体" w:hAnsi="宋体" w:eastAsia="黑体"/>
          <w:bCs/>
          <w:color w:val="000000"/>
          <w:sz w:val="30"/>
          <w:szCs w:val="30"/>
        </w:rPr>
        <w:outlineLvl w:val="3"/>
      </w:pPr>
      <w:r/>
      <w:bookmarkStart w:id="164" w:name="_Toc20823309"/>
      <w:r/>
      <w:bookmarkStart w:id="165" w:name="_Toc513029237"/>
      <w:r/>
      <w:bookmarkStart w:id="166" w:name="_Toc16938553"/>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p>
    <w:p>
      <w:pPr>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keepLines/>
        <w:keepNext/>
        <w:spacing w:line="4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、货物（包含与货物相关的服务）的追加</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64"/>
      <w:r/>
      <w:bookmarkEnd w:id="165"/>
      <w:r/>
      <w:bookmarkEnd w:id="166"/>
      <w:r/>
      <w:r/>
    </w:p>
    <w:p>
      <w:pPr>
        <w:ind w:firstLine="600"/>
        <w:keepLines/>
        <w:keepNext/>
        <w:spacing w:line="400" w:lineRule="exact"/>
        <w:rPr>
          <w:rFonts w:ascii="黑体" w:hAnsi="宋体" w:eastAsia="黑体"/>
          <w:bCs/>
          <w:color w:val="000000"/>
          <w:sz w:val="30"/>
          <w:szCs w:val="30"/>
        </w:rPr>
        <w:outlineLvl w:val="3"/>
      </w:pPr>
      <w:r/>
      <w:bookmarkStart w:id="167" w:name="_Toc513029242"/>
      <w:r/>
      <w:bookmarkStart w:id="168" w:name="_Toc479757207"/>
      <w:r/>
      <w:bookmarkStart w:id="169" w:name="_Toc20823314"/>
      <w:r/>
      <w:bookmarkStart w:id="170" w:name="_Toc16938558"/>
      <w:r/>
      <w:bookmarkStart w:id="171" w:name="_Toc120614221"/>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、政府采购履约资金扶持政策</w:t>
      </w:r>
      <w:r/>
    </w:p>
    <w:p>
      <w:pPr>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jc w:val="center"/>
        <w:keepNext/>
        <w:rPr>
          <w:rFonts w:hint="eastAsia" w:ascii="黑体" w:eastAsia="黑体"/>
          <w:bCs/>
          <w:color w:val="000000"/>
          <w:sz w:val="44"/>
          <w:szCs w:val="28"/>
        </w:rPr>
        <w:outlineLvl w:val="0"/>
      </w:pPr>
      <w:r>
        <w:rPr>
          <w:rFonts w:hint="eastAsia" w:ascii="黑体" w:eastAsia="黑体"/>
          <w:bCs/>
          <w:color w:val="000000"/>
          <w:sz w:val="44"/>
          <w:szCs w:val="28"/>
        </w:rPr>
        <w:br w:type="page" w:clear="all"/>
      </w:r>
      <w:r>
        <w:rPr>
          <w:rFonts w:hint="eastAsia" w:ascii="黑体" w:eastAsia="黑体"/>
          <w:bCs/>
          <w:color w:val="000000"/>
          <w:sz w:val="44"/>
          <w:szCs w:val="28"/>
        </w:rPr>
        <w:t xml:space="preserve">第三章  合同</w:t>
      </w:r>
      <w:bookmarkEnd w:id="167"/>
      <w:r/>
      <w:bookmarkEnd w:id="168"/>
      <w:r/>
      <w:bookmarkEnd w:id="169"/>
      <w:r/>
      <w:bookmarkEnd w:id="170"/>
      <w:r/>
      <w:bookmarkEnd w:id="171"/>
      <w:r>
        <w:rPr>
          <w:rFonts w:hint="eastAsia" w:ascii="黑体" w:eastAsia="黑体"/>
          <w:bCs/>
          <w:color w:val="000000"/>
          <w:sz w:val="44"/>
          <w:szCs w:val="28"/>
        </w:rPr>
        <w:t xml:space="preserve">文本</w:t>
      </w:r>
      <w:r/>
    </w:p>
    <w:p>
      <w:pPr>
        <w:spacing w:line="400" w:lineRule="exact"/>
        <w:rPr>
          <w:rFonts w:ascii="宋体" w:hAnsi="宋体"/>
          <w:bCs/>
          <w:color w:val="ff0000"/>
          <w:sz w:val="24"/>
          <w:szCs w:val="24"/>
          <w:highlight w:val="yellow"/>
        </w:rPr>
      </w:pPr>
      <w:r/>
      <w:bookmarkStart w:id="172" w:name="_Toc3995"/>
      <w:r/>
      <w:bookmarkStart w:id="173" w:name="_Toc513029243"/>
      <w:r/>
      <w:bookmarkStart w:id="174" w:name="_Toc20823315"/>
      <w:r/>
      <w:bookmarkStart w:id="175" w:name="_Toc16938559"/>
      <w:r/>
      <w:bookmarkStart w:id="176" w:name="_Hlt16619350"/>
      <w:r/>
      <w:bookmarkStart w:id="177" w:name="_Toc120614244"/>
      <w:r/>
      <w:bookmarkStart w:id="178" w:name="_Toc16938590"/>
      <w:r/>
      <w:bookmarkStart w:id="179" w:name="_Toc20823346"/>
      <w:r/>
      <w:bookmarkStart w:id="180" w:name="_Toc479757211"/>
      <w:r/>
      <w:bookmarkStart w:id="181" w:name="_Toc462564139"/>
      <w:r/>
      <w:r/>
    </w:p>
    <w:p>
      <w:pPr>
        <w:spacing w:line="500" w:lineRule="exact"/>
        <w:rPr>
          <w:rFonts w:hint="eastAsia" w:ascii="宋体" w:hAnsi="宋体"/>
          <w:bCs/>
          <w:color w:val="000000"/>
          <w:sz w:val="24"/>
          <w:szCs w:val="24"/>
        </w:rPr>
      </w:pPr>
      <w:r>
        <w:rPr>
          <w:rFonts w:hint="eastAsia" w:ascii="宋体" w:hAnsi="宋体"/>
          <w:bCs/>
          <w:color w:val="000000"/>
          <w:sz w:val="24"/>
          <w:szCs w:val="24"/>
        </w:rPr>
      </w:r>
      <w:bookmarkEnd w:id="172"/>
      <w:r/>
      <w:bookmarkEnd w:id="173"/>
      <w:r/>
      <w:bookmarkEnd w:id="174"/>
      <w:r/>
      <w:bookmarkEnd w:id="175"/>
      <w:r/>
      <w:r/>
    </w:p>
    <w:p>
      <w:pPr>
        <w:pStyle w:val="895"/>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895"/>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895"/>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w:t>
      </w:r>
      <w:bookmarkStart w:id="191" w:name="_GoBack"/>
      <w:r/>
      <w:bookmarkEnd w:id="191"/>
      <w:r>
        <w:rPr>
          <w:rFonts w:hint="eastAsia" w:ascii="宋体" w:hAnsi="宋体" w:eastAsia="宋体" w:cs="宋体"/>
          <w:b/>
          <w:bCs/>
          <w:spacing w:val="-20"/>
          <w:sz w:val="32"/>
          <w:szCs w:val="32"/>
        </w:rPr>
        <w:t xml:space="preserve">部 政府采购货物买卖合同（试行）</w:t>
      </w:r>
      <w:r/>
    </w:p>
    <w:p>
      <w:pPr>
        <w:pStyle w:val="895"/>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firstLine="1680"/>
        <w:spacing w:line="360" w:lineRule="auto"/>
        <w:rPr>
          <w:rFonts w:hint="eastAsia"/>
          <w:sz w:val="28"/>
          <w:szCs w:val="28"/>
          <w:u w:val="single"/>
        </w:rPr>
      </w:pPr>
      <w:r>
        <w:rPr>
          <w:rFonts w:hint="eastAsia" w:ascii="宋体" w:hAnsi="宋体" w:cs="宋体"/>
          <w:sz w:val="28"/>
          <w:szCs w:val="28"/>
        </w:rPr>
        <w:t xml:space="preserve">项目名称：</w:t>
      </w:r>
      <w:r>
        <w:rPr>
          <w:rFonts w:hint="eastAsia"/>
          <w:sz w:val="28"/>
          <w:szCs w:val="28"/>
          <w:u w:val="single"/>
        </w:rPr>
        <w:t xml:space="preserve">                             </w:t>
      </w:r>
      <w:r/>
    </w:p>
    <w:p>
      <w:pPr>
        <w:ind w:left="420" w:firstLine="1680"/>
        <w:spacing w:line="360" w:lineRule="auto"/>
        <w:rPr>
          <w:rFonts w:hint="eastAsia"/>
          <w:sz w:val="28"/>
          <w:szCs w:val="28"/>
          <w:u w:val="single"/>
        </w:rPr>
      </w:pPr>
      <w:r>
        <w:rPr>
          <w:rFonts w:hint="eastAsia"/>
          <w:sz w:val="28"/>
          <w:szCs w:val="28"/>
        </w:rPr>
        <w:t xml:space="preserve">合同编号：</w:t>
      </w:r>
      <w:r>
        <w:rPr>
          <w:rFonts w:hint="eastAsia"/>
          <w:sz w:val="28"/>
          <w:szCs w:val="28"/>
          <w:u w:val="single"/>
        </w:rPr>
        <w:t xml:space="preserve">                             </w:t>
      </w:r>
      <w:r/>
    </w:p>
    <w:p>
      <w:pPr>
        <w:ind w:left="420" w:firstLine="1680"/>
        <w:spacing w:line="360" w:lineRule="auto"/>
        <w:rPr>
          <w:rFonts w:hint="eastAsia"/>
          <w:sz w:val="28"/>
          <w:szCs w:val="28"/>
          <w:u w:val="single"/>
        </w:rPr>
      </w:pPr>
      <w:r>
        <w:rPr>
          <w:rFonts w:hint="eastAsia"/>
          <w:sz w:val="28"/>
          <w:szCs w:val="28"/>
        </w:rPr>
        <w:t xml:space="preserve">甲    方：</w:t>
      </w:r>
      <w:r>
        <w:rPr>
          <w:rFonts w:hint="eastAsia"/>
          <w:sz w:val="28"/>
          <w:szCs w:val="28"/>
          <w:u w:val="single"/>
        </w:rPr>
        <w:t xml:space="preserve">                             </w:t>
      </w:r>
      <w:r/>
    </w:p>
    <w:p>
      <w:pPr>
        <w:ind w:left="420" w:firstLine="1680"/>
        <w:spacing w:line="360" w:lineRule="auto"/>
        <w:rPr>
          <w:rFonts w:hint="eastAsia"/>
          <w:sz w:val="28"/>
          <w:szCs w:val="28"/>
          <w:u w:val="single"/>
        </w:rPr>
      </w:pPr>
      <w:r>
        <w:rPr>
          <w:rFonts w:hint="eastAsia"/>
          <w:sz w:val="28"/>
          <w:szCs w:val="28"/>
        </w:rPr>
        <w:t xml:space="preserve">乙    方：</w:t>
      </w:r>
      <w:r>
        <w:rPr>
          <w:rFonts w:hint="eastAsia"/>
          <w:sz w:val="28"/>
          <w:szCs w:val="28"/>
          <w:u w:val="single"/>
        </w:rPr>
        <w:t xml:space="preserve">                             </w:t>
      </w:r>
      <w:r/>
    </w:p>
    <w:p>
      <w:pPr>
        <w:ind w:left="420" w:firstLine="168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pPr>
        <w:jc w:val="center"/>
        <w:rPr>
          <w:rFonts w:ascii="宋体" w:hAnsi="宋体"/>
          <w:sz w:val="32"/>
          <w:szCs w:val="32"/>
        </w:rPr>
      </w:pPr>
      <w:r>
        <w:rPr>
          <w:rFonts w:hint="eastAsia" w:ascii="宋体" w:hAnsi="宋体"/>
          <w:sz w:val="32"/>
          <w:szCs w:val="32"/>
        </w:rPr>
        <w:br w:type="page" w:clear="all"/>
      </w:r>
      <w:r>
        <w:rPr>
          <w:rFonts w:hint="eastAsia" w:ascii="宋体" w:hAnsi="宋体"/>
          <w:sz w:val="32"/>
          <w:szCs w:val="32"/>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p>
    <w:p>
      <w:pPr>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p>
    <w:p>
      <w:pPr>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10"/>
          <w:footnotePr/>
          <w:endnotePr/>
          <w:type w:val="nextPage"/>
          <w:pgSz w:w="11906" w:h="16838" w:orient="portrait"/>
          <w:pgMar w:top="1440" w:right="1080" w:bottom="1440" w:left="1080" w:header="851" w:footer="992" w:gutter="0"/>
          <w:pgNumType w:start="1"/>
          <w:cols w:num="1" w:sep="0" w:space="720" w:equalWidth="1"/>
          <w:docGrid w:linePitch="360"/>
        </w:sectPr>
      </w:pPr>
      <w:r>
        <w:rPr>
          <w:rFonts w:eastAsia="黑体"/>
          <w:sz w:val="44"/>
          <w:szCs w:val="44"/>
        </w:rPr>
      </w:r>
      <w:r/>
    </w:p>
    <w:p>
      <w:pPr>
        <w:pStyle w:val="891"/>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p>
    <w:p>
      <w:pPr>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spacing w:line="400" w:lineRule="exact"/>
        <w:rPr>
          <w:rFonts w:hint="eastAsia" w:ascii="宋体" w:hAnsi="宋体"/>
          <w:szCs w:val="21"/>
        </w:rPr>
      </w:pPr>
      <w:r>
        <w:rPr>
          <w:rFonts w:hint="eastAsia" w:ascii="宋体" w:hAnsi="宋体"/>
          <w:szCs w:val="21"/>
        </w:rPr>
        <w:t xml:space="preserve">乙方（全称）：</w:t>
      </w:r>
      <w:r>
        <w:rPr>
          <w:rFonts w:hint="eastAsia" w:ascii="宋体" w:hAnsi="宋体"/>
          <w:szCs w:val="21"/>
          <w:u w:val="single"/>
        </w:rPr>
        <w:t xml:space="preserve">                       </w:t>
      </w:r>
      <w:r>
        <w:rPr>
          <w:rFonts w:hint="eastAsia" w:ascii="宋体" w:hAnsi="宋体"/>
          <w:szCs w:val="21"/>
        </w:rPr>
        <w:t xml:space="preserve">（供应商）</w:t>
      </w:r>
      <w:r/>
    </w:p>
    <w:p>
      <w:pPr>
        <w:pStyle w:val="896"/>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2"/>
        </w:numPr>
        <w:ind w:firstLine="420"/>
        <w:spacing w:line="400" w:lineRule="exact"/>
        <w:rPr>
          <w:rFonts w:ascii="宋体" w:hAnsi="宋体"/>
          <w:b/>
          <w:szCs w:val="21"/>
        </w:rPr>
      </w:pPr>
      <w:r>
        <w:rPr>
          <w:rFonts w:hint="eastAsia" w:ascii="宋体" w:hAnsi="宋体"/>
          <w:b/>
          <w:szCs w:val="21"/>
        </w:rPr>
        <w:t xml:space="preserve">项目信息</w:t>
      </w:r>
      <w:r/>
    </w:p>
    <w:p>
      <w:pPr>
        <w:pStyle w:val="896"/>
        <w:numPr>
          <w:ilvl w:val="0"/>
          <w:numId w:val="3"/>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pStyle w:val="896"/>
        <w:ind w:left="0"/>
        <w:spacing w:after="0" w:line="400" w:lineRule="exact"/>
        <w:tabs>
          <w:tab w:val="left" w:pos="999" w:leader="none"/>
        </w:tabs>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r/>
    </w:p>
    <w:p>
      <w:pPr>
        <w:pStyle w:val="896"/>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400" w:lineRule="exact"/>
        <w:rPr>
          <w:rFonts w:ascii="宋体" w:hAnsi="宋体"/>
          <w:szCs w:val="21"/>
        </w:rPr>
      </w:pPr>
      <w:r>
        <w:rPr>
          <w:rFonts w:hint="eastAsia" w:ascii="宋体" w:hAnsi="宋体"/>
          <w:szCs w:val="21"/>
        </w:rPr>
        <w:t xml:space="preserve">（3）项目内容：</w:t>
      </w:r>
      <w:r/>
    </w:p>
    <w:p>
      <w:pPr>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p>
    <w:p>
      <w:pPr>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904"/>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04"/>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904"/>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904"/>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904"/>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04"/>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904"/>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þ</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904"/>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þ</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904"/>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904"/>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904"/>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904"/>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是否涉及环境标志产品：</w:t>
      </w:r>
      <w:r/>
    </w:p>
    <w:p>
      <w:pPr>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904"/>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904"/>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904"/>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2"/>
        </w:numPr>
        <w:ind w:firstLine="420"/>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（注：固定单价合同应填写单价和最高限价）</w:t>
      </w:r>
      <w:r/>
    </w:p>
    <w:p>
      <w:pPr>
        <w:spacing w:line="400" w:lineRule="exact"/>
        <w:rPr>
          <w:rFonts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þ</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905"/>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rPr>
          <w:rFonts w:hint="eastAsia" w:ascii="宋体" w:hAnsi="宋体"/>
          <w:szCs w:val="21"/>
          <w:u w:val="single"/>
          <w:lang w:eastAsia="zh-CN"/>
        </w:rPr>
      </w:pPr>
      <w:r>
        <w:rPr>
          <w:rFonts w:ascii="Wingdings" w:hAnsi="Wingdings" w:eastAsia="Wingdings" w:cs="Wingdings"/>
          <w:szCs w:val="21"/>
        </w:rPr>
        <w:t xml:space="preserve">þ</w:t>
      </w:r>
      <w:r>
        <w:rPr>
          <w:rFonts w:hint="eastAsia" w:ascii="宋体" w:hAnsi="宋体"/>
          <w:szCs w:val="21"/>
        </w:rPr>
        <w:t xml:space="preserve">分期付款：</w:t>
      </w:r>
      <w:r>
        <w:rPr>
          <w:rFonts w:hint="eastAsia" w:ascii="宋体" w:hAnsi="宋体"/>
          <w:szCs w:val="21"/>
          <w:u w:val="single"/>
        </w:rPr>
        <w:t xml:space="preserve">合同签订后预付合同价的30%，货物运至现场付至合同价的80%，安装调试完毕且经验收合格后一次性付清余款</w:t>
      </w:r>
      <w:r>
        <w:rPr>
          <w:rFonts w:hint="eastAsia" w:ascii="宋体" w:hAnsi="宋体"/>
          <w:szCs w:val="21"/>
          <w:u w:val="single"/>
          <w:lang w:eastAsia="zh-CN"/>
        </w:rPr>
        <w:t xml:space="preserve">。</w:t>
      </w:r>
      <w:r/>
    </w:p>
    <w:p>
      <w:pPr>
        <w:ind w:firstLine="630"/>
        <w:spacing w:line="400" w:lineRule="exact"/>
      </w:pPr>
      <w:r>
        <w:rPr>
          <w:rFonts w:hint="eastAsia" w:ascii="宋体" w:hAnsi="宋体"/>
          <w:szCs w:val="21"/>
          <w:u w:val="none"/>
        </w:rPr>
        <w:t xml:space="preserve">注：根据《关于在全市公共资源交易领域全面推广应用数字人民币的通知》（淮协调办〔2023〕33号）要求，本项目货款支付形式建议采用数字人民币支付：</w:t>
      </w:r>
      <w:r>
        <w:rPr>
          <w:rFonts w:hint="eastAsia" w:ascii="宋体" w:hAnsi="宋体"/>
          <w:szCs w:val="21"/>
          <w:u w:val="none"/>
          <w:lang w:val="en-US" w:eastAsia="zh-CN"/>
        </w:rPr>
        <w:t xml:space="preserve">乙方</w:t>
      </w:r>
      <w:r>
        <w:rPr>
          <w:rFonts w:hint="eastAsia" w:ascii="宋体" w:hAnsi="宋体"/>
          <w:szCs w:val="21"/>
          <w:u w:val="none"/>
        </w:rPr>
        <w:t xml:space="preserve">须在基本账户下开通数字人民币钱包（ID），向</w:t>
      </w:r>
      <w:r>
        <w:rPr>
          <w:rFonts w:hint="eastAsia" w:ascii="宋体" w:hAnsi="宋体"/>
          <w:szCs w:val="21"/>
          <w:u w:val="none"/>
          <w:lang w:val="en-US" w:eastAsia="zh-CN"/>
        </w:rPr>
        <w:t xml:space="preserve">甲方</w:t>
      </w:r>
      <w:r>
        <w:rPr>
          <w:rFonts w:hint="eastAsia" w:ascii="宋体" w:hAnsi="宋体"/>
          <w:szCs w:val="21"/>
          <w:u w:val="none"/>
        </w:rPr>
        <w:t xml:space="preserve">数字人民币钱包（ID）支付项目货款。</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2"/>
        </w:numPr>
        <w:ind w:firstLine="420"/>
        <w:spacing w:line="400" w:lineRule="exact"/>
        <w:rPr>
          <w:rFonts w:ascii="宋体" w:hAnsi="宋体"/>
          <w:b/>
          <w:szCs w:val="21"/>
          <w:u w:val="single"/>
        </w:rPr>
      </w:pPr>
      <w:r>
        <w:rPr>
          <w:rFonts w:hint="eastAsia" w:ascii="宋体" w:hAnsi="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þ</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ind w:firstLine="420"/>
        <w:spacing w:line="400" w:lineRule="exact"/>
        <w:rPr>
          <w:rFonts w:hint="eastAsia" w:ascii="宋体" w:hAnsi="宋体" w:cs="宋体"/>
          <w:bCs/>
        </w:rPr>
      </w:pPr>
      <w:r>
        <w:rPr>
          <w:rFonts w:hint="eastAsia" w:ascii="宋体" w:hAnsi="宋体" w:cs="宋体"/>
          <w:bCs/>
          <w:lang w:val="en-US" w:eastAsia="zh-CN"/>
        </w:rPr>
        <w:t xml:space="preserve">①</w:t>
      </w:r>
      <w:r>
        <w:rPr>
          <w:rFonts w:hint="eastAsia" w:ascii="宋体" w:hAnsi="宋体" w:cs="宋体"/>
          <w:bCs/>
        </w:rPr>
        <w:t xml:space="preserve">本项目供应商与采购单位签订合同前需缴纳合同金额</w:t>
      </w:r>
      <w:r>
        <w:rPr>
          <w:rFonts w:hint="eastAsia" w:ascii="宋体" w:hAnsi="宋体" w:cs="宋体"/>
          <w:bCs/>
          <w:u w:val="single"/>
        </w:rPr>
        <w:t xml:space="preserve">1%</w:t>
      </w:r>
      <w:r>
        <w:rPr>
          <w:rFonts w:hint="eastAsia" w:ascii="宋体" w:hAnsi="宋体" w:cs="宋体"/>
          <w:bCs/>
        </w:rPr>
        <w:t xml:space="preserve">的履约保证金。</w:t>
      </w:r>
      <w:r/>
    </w:p>
    <w:p>
      <w:pPr>
        <w:ind w:firstLine="420"/>
        <w:spacing w:line="400" w:lineRule="exact"/>
        <w:rPr>
          <w:rFonts w:hint="eastAsia" w:ascii="宋体" w:hAnsi="宋体" w:cs="宋体"/>
          <w:bCs/>
        </w:rPr>
      </w:pPr>
      <w:r>
        <w:rPr>
          <w:rFonts w:hint="eastAsia" w:ascii="宋体" w:hAnsi="宋体" w:cs="宋体"/>
          <w:bCs/>
        </w:rPr>
        <w:t xml:space="preserve">注：乙方选取以履约保函（保险）形式向采购人缴纳的，按照《关于在全省政府采购领域推行电子履约保函（保险）的通知》（苏财购〔2023〕150号）、《关于在全市公共资源交易领域全面推广应用数字人民币的通知》（淮协调办〔2023〕33号）的要求，登录“政府采购电子履约保函（保险）平台”选择第三方机构并提交保函（保险）申请，经审核通过后建议采用数字人民币形式支付相关费用。</w:t>
      </w:r>
      <w:r/>
    </w:p>
    <w:p>
      <w:pPr>
        <w:ind w:firstLine="420"/>
        <w:spacing w:line="400" w:lineRule="exact"/>
        <w:rPr>
          <w:rFonts w:hint="eastAsia" w:ascii="宋体" w:hAnsi="宋体" w:cs="宋体"/>
          <w:bCs/>
        </w:rPr>
      </w:pPr>
      <w:r>
        <w:rPr>
          <w:rFonts w:hint="eastAsia" w:ascii="宋体" w:hAnsi="宋体" w:cs="宋体"/>
          <w:bCs/>
          <w:lang w:val="en-US" w:eastAsia="zh-CN"/>
        </w:rPr>
        <w:t xml:space="preserve">②</w:t>
      </w:r>
      <w:r>
        <w:rPr>
          <w:rFonts w:hint="eastAsia" w:ascii="宋体" w:hAnsi="宋体" w:cs="宋体"/>
          <w:bCs/>
        </w:rPr>
        <w:t xml:space="preserve">乙方提供的履约保证金可以是人民币形式（银行本票、汇票、支票、电汇），或银行保函、担保公司的保证担保或保险公司的保证保险等多种形式。</w:t>
      </w:r>
      <w:r/>
    </w:p>
    <w:p>
      <w:pPr>
        <w:ind w:firstLine="420"/>
        <w:spacing w:line="400" w:lineRule="exact"/>
        <w:rPr>
          <w:rFonts w:hint="eastAsia" w:ascii="宋体" w:hAnsi="宋体" w:cs="宋体"/>
          <w:bCs/>
        </w:rPr>
      </w:pPr>
      <w:r>
        <w:rPr>
          <w:rFonts w:hint="eastAsia" w:ascii="宋体" w:hAnsi="宋体" w:cs="宋体"/>
          <w:bCs/>
          <w:lang w:val="en-US" w:eastAsia="zh-CN"/>
        </w:rPr>
        <w:t xml:space="preserve">③</w:t>
      </w:r>
      <w:r>
        <w:rPr>
          <w:rFonts w:hint="eastAsia" w:ascii="宋体" w:hAnsi="宋体" w:cs="宋体"/>
          <w:bCs/>
        </w:rPr>
        <w:t xml:space="preserve">乙方选取银行保函、担保公司的保证担保或保险公司的保证保险等形式的向采购人缴纳的，如保函（担保、保险等）的约定期到期但乙方履约仍未结束的，乙方须进行续保。</w:t>
      </w:r>
      <w:r/>
    </w:p>
    <w:p>
      <w:pPr>
        <w:ind w:firstLine="420"/>
        <w:spacing w:line="400" w:lineRule="exact"/>
        <w:rPr>
          <w:rFonts w:hint="eastAsia" w:ascii="宋体" w:hAnsi="宋体" w:cs="宋体"/>
          <w:bCs/>
        </w:rPr>
      </w:pPr>
      <w:r>
        <w:rPr>
          <w:rFonts w:hint="eastAsia" w:ascii="宋体" w:hAnsi="宋体" w:cs="宋体"/>
          <w:bCs/>
          <w:lang w:val="en-US" w:eastAsia="zh-CN"/>
        </w:rPr>
        <w:t xml:space="preserve">④</w:t>
      </w:r>
      <w:r>
        <w:rPr>
          <w:rFonts w:hint="eastAsia" w:ascii="宋体" w:hAnsi="宋体" w:cs="宋体"/>
          <w:bCs/>
        </w:rPr>
        <w:t xml:space="preserve">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20"/>
        <w:spacing w:line="400" w:lineRule="exact"/>
        <w:rPr>
          <w:rFonts w:hint="eastAsia" w:ascii="宋体" w:hAnsi="宋体" w:cs="宋体"/>
          <w:bCs/>
        </w:rPr>
      </w:pPr>
      <w:r>
        <w:rPr>
          <w:rFonts w:hint="eastAsia" w:ascii="宋体" w:hAnsi="宋体" w:cs="宋体"/>
          <w:bCs/>
          <w:lang w:val="en-US" w:eastAsia="zh-CN"/>
        </w:rPr>
        <w:t xml:space="preserve">⑤</w:t>
      </w:r>
      <w:r>
        <w:rPr>
          <w:rFonts w:hint="eastAsia" w:ascii="宋体" w:hAnsi="宋体" w:cs="宋体"/>
          <w:bCs/>
        </w:rPr>
        <w:t xml:space="preserve">如乙方未能履行合同规定的义务，甲方有权从履约保证金中取得补偿。</w:t>
      </w:r>
      <w:r/>
    </w:p>
    <w:p>
      <w:pPr>
        <w:ind w:firstLine="420"/>
        <w:spacing w:line="400" w:lineRule="exact"/>
        <w:rPr>
          <w:rFonts w:hint="eastAsia" w:ascii="宋体" w:hAnsi="宋体" w:cs="宋体"/>
          <w:bCs/>
        </w:rPr>
      </w:pPr>
      <w:r>
        <w:rPr>
          <w:rFonts w:hint="eastAsia" w:ascii="宋体" w:hAnsi="宋体" w:cs="宋体"/>
          <w:bCs/>
          <w:lang w:val="en-US" w:eastAsia="zh-CN"/>
        </w:rPr>
        <w:t xml:space="preserve">⑥</w:t>
      </w:r>
      <w:r>
        <w:rPr>
          <w:rFonts w:hint="eastAsia" w:ascii="宋体" w:hAnsi="宋体" w:cs="宋体"/>
          <w:bCs/>
        </w:rPr>
        <w:t xml:space="preserve">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p>
    <w:p>
      <w:pPr>
        <w:ind w:firstLine="420"/>
        <w:spacing w:line="400" w:lineRule="exact"/>
        <w:rPr>
          <w:rFonts w:ascii="宋体" w:hAnsi="宋体" w:cs="宋体"/>
        </w:rPr>
      </w:pPr>
      <w:r>
        <w:rPr>
          <w:rFonts w:hint="eastAsia" w:ascii="宋体" w:hAnsi="宋体" w:cs="宋体"/>
          <w:bCs/>
          <w:lang w:val="en-US" w:eastAsia="zh-CN"/>
        </w:rPr>
        <w:t xml:space="preserve">⑦</w:t>
      </w:r>
      <w:r>
        <w:rPr>
          <w:rFonts w:hint="eastAsia" w:ascii="宋体" w:hAnsi="宋体" w:cs="宋体"/>
          <w:bCs/>
        </w:rPr>
        <w:t xml:space="preserve">履约保证金在合同约定期间内不予退还或者应完全有效，履约保证金在项目验收合格后无息退还给乙方。</w:t>
      </w:r>
      <w:r/>
    </w:p>
    <w:p>
      <w:pPr>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p>
    <w:p>
      <w:pPr>
        <w:numPr>
          <w:ilvl w:val="0"/>
          <w:numId w:val="2"/>
        </w:numPr>
        <w:ind w:firstLine="420"/>
        <w:spacing w:line="400" w:lineRule="exact"/>
        <w:rPr>
          <w:rFonts w:ascii="宋体" w:hAnsi="宋体"/>
          <w:b/>
          <w:szCs w:val="21"/>
        </w:rPr>
      </w:pPr>
      <w:r>
        <w:rPr>
          <w:rFonts w:hint="eastAsia" w:ascii="宋体" w:hAnsi="宋体"/>
          <w:b/>
          <w:szCs w:val="21"/>
        </w:rPr>
        <w:t xml:space="preserve">合同验收</w:t>
      </w:r>
      <w:r/>
    </w:p>
    <w:p>
      <w:pPr>
        <w:ind w:firstLine="420"/>
        <w:spacing w:line="400" w:lineRule="exact"/>
        <w:rPr>
          <w:rFonts w:hint="eastAsia" w:ascii="宋体" w:hAnsi="宋体"/>
          <w:bCs/>
          <w:szCs w:val="21"/>
        </w:rPr>
      </w:pPr>
      <w:r>
        <w:rPr>
          <w:rFonts w:hint="eastAsia" w:ascii="宋体" w:hAnsi="宋体"/>
          <w:bCs/>
          <w:szCs w:val="21"/>
          <w:lang w:eastAsia="zh-CN"/>
        </w:rPr>
        <w:t xml:space="preserve">（</w:t>
      </w:r>
      <w:r>
        <w:rPr>
          <w:rFonts w:hint="eastAsia" w:ascii="宋体" w:hAnsi="宋体"/>
          <w:bCs/>
          <w:szCs w:val="21"/>
          <w:lang w:val="en-US" w:eastAsia="zh-CN"/>
        </w:rPr>
        <w:t xml:space="preserve">1</w:t>
      </w:r>
      <w:r>
        <w:rPr>
          <w:rFonts w:hint="eastAsia" w:ascii="宋体" w:hAnsi="宋体"/>
          <w:bCs/>
          <w:szCs w:val="21"/>
          <w:lang w:eastAsia="zh-CN"/>
        </w:rPr>
        <w:t xml:space="preserve">）</w:t>
      </w:r>
      <w:r>
        <w:rPr>
          <w:rFonts w:hint="eastAsia" w:ascii="宋体" w:hAnsi="宋体"/>
          <w:bCs/>
          <w:szCs w:val="21"/>
        </w:rPr>
        <w:t xml:space="preserve">甲方依法组织履约验收工作。</w:t>
      </w:r>
      <w:r/>
    </w:p>
    <w:p>
      <w:pPr>
        <w:ind w:firstLine="420"/>
        <w:spacing w:line="400" w:lineRule="exact"/>
        <w:rPr>
          <w:rFonts w:hint="eastAsia" w:ascii="宋体" w:hAnsi="宋体"/>
          <w:bCs/>
          <w:szCs w:val="21"/>
        </w:rPr>
      </w:pPr>
      <w:r>
        <w:rPr>
          <w:rFonts w:hint="eastAsia" w:ascii="宋体" w:hAnsi="宋体"/>
          <w:bCs/>
          <w:szCs w:val="21"/>
          <w:lang w:eastAsia="zh-CN"/>
        </w:rPr>
        <w:t xml:space="preserve">（</w:t>
      </w:r>
      <w:r>
        <w:rPr>
          <w:rFonts w:hint="eastAsia" w:ascii="宋体" w:hAnsi="宋体"/>
          <w:bCs/>
          <w:szCs w:val="21"/>
          <w:lang w:val="en-US" w:eastAsia="zh-CN"/>
        </w:rPr>
        <w:t xml:space="preserve">2</w:t>
      </w:r>
      <w:r>
        <w:rPr>
          <w:rFonts w:hint="eastAsia" w:ascii="宋体" w:hAnsi="宋体"/>
          <w:bCs/>
          <w:szCs w:val="21"/>
          <w:lang w:eastAsia="zh-CN"/>
        </w:rPr>
        <w:t xml:space="preserve">）</w:t>
      </w:r>
      <w:r>
        <w:rPr>
          <w:rFonts w:hint="eastAsia" w:ascii="宋体" w:hAnsi="宋体"/>
          <w:bCs/>
          <w:szCs w:val="21"/>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20"/>
        <w:spacing w:line="400" w:lineRule="exact"/>
        <w:rPr>
          <w:rFonts w:hint="eastAsia" w:ascii="宋体" w:hAnsi="宋体"/>
          <w:bCs/>
          <w:szCs w:val="21"/>
        </w:rPr>
      </w:pPr>
      <w:r>
        <w:rPr>
          <w:rFonts w:hint="eastAsia" w:ascii="宋体" w:hAnsi="宋体"/>
          <w:bCs/>
          <w:szCs w:val="21"/>
          <w:lang w:eastAsia="zh-CN"/>
        </w:rPr>
        <w:t xml:space="preserve">（</w:t>
      </w:r>
      <w:r>
        <w:rPr>
          <w:rFonts w:hint="eastAsia" w:ascii="宋体" w:hAnsi="宋体"/>
          <w:bCs/>
          <w:szCs w:val="21"/>
          <w:lang w:val="en-US" w:eastAsia="zh-CN"/>
        </w:rPr>
        <w:t xml:space="preserve">3</w:t>
      </w:r>
      <w:r>
        <w:rPr>
          <w:rFonts w:hint="eastAsia" w:ascii="宋体" w:hAnsi="宋体"/>
          <w:bCs/>
          <w:szCs w:val="21"/>
          <w:lang w:eastAsia="zh-CN"/>
        </w:rPr>
        <w:t xml:space="preserve">）</w:t>
      </w:r>
      <w:r>
        <w:rPr>
          <w:rFonts w:hint="eastAsia" w:ascii="宋体" w:hAnsi="宋体"/>
          <w:bCs/>
          <w:szCs w:val="21"/>
        </w:rPr>
        <w:t xml:space="preserve">对于实际使用人和甲方分离的项目，甲方邀请实际使用人参与验收。</w:t>
      </w:r>
      <w:r/>
    </w:p>
    <w:p>
      <w:pPr>
        <w:ind w:firstLine="420"/>
        <w:spacing w:line="400" w:lineRule="exact"/>
        <w:rPr>
          <w:rFonts w:hint="eastAsia" w:ascii="宋体" w:hAnsi="宋体"/>
          <w:bCs/>
          <w:szCs w:val="21"/>
        </w:rPr>
      </w:pPr>
      <w:r>
        <w:rPr>
          <w:rFonts w:hint="eastAsia" w:ascii="宋体" w:hAnsi="宋体"/>
          <w:bCs/>
          <w:szCs w:val="21"/>
          <w:lang w:eastAsia="zh-CN"/>
        </w:rPr>
        <w:t xml:space="preserve">（</w:t>
      </w:r>
      <w:r>
        <w:rPr>
          <w:rFonts w:hint="eastAsia" w:ascii="宋体" w:hAnsi="宋体"/>
          <w:bCs/>
          <w:szCs w:val="21"/>
          <w:lang w:val="en-US" w:eastAsia="zh-CN"/>
        </w:rPr>
        <w:t xml:space="preserve">4</w:t>
      </w:r>
      <w:r>
        <w:rPr>
          <w:rFonts w:hint="eastAsia" w:ascii="宋体" w:hAnsi="宋体"/>
          <w:bCs/>
          <w:szCs w:val="21"/>
          <w:lang w:eastAsia="zh-CN"/>
        </w:rPr>
        <w:t xml:space="preserve">）</w:t>
      </w:r>
      <w:r>
        <w:rPr>
          <w:rFonts w:hint="eastAsia" w:ascii="宋体" w:hAnsi="宋体"/>
          <w:bCs/>
          <w:szCs w:val="21"/>
        </w:rPr>
        <w:t xml:space="preserve">如有必要，甲方邀请参加本项目的其他供应商或第三方专业机构及专家参与验收，相关意见将作为验收书的参考资料。</w:t>
      </w:r>
      <w:r/>
    </w:p>
    <w:p>
      <w:pPr>
        <w:ind w:firstLine="420"/>
        <w:spacing w:line="400" w:lineRule="exact"/>
        <w:rPr>
          <w:rFonts w:hint="eastAsia" w:ascii="宋体" w:hAnsi="宋体"/>
          <w:bCs/>
          <w:szCs w:val="21"/>
        </w:rPr>
      </w:pPr>
      <w:r>
        <w:rPr>
          <w:rFonts w:hint="eastAsia" w:ascii="宋体" w:hAnsi="宋体"/>
          <w:bCs/>
          <w:szCs w:val="21"/>
          <w:lang w:eastAsia="zh-CN"/>
        </w:rPr>
        <w:t xml:space="preserve">（</w:t>
      </w:r>
      <w:r>
        <w:rPr>
          <w:rFonts w:hint="eastAsia" w:ascii="宋体" w:hAnsi="宋体"/>
          <w:bCs/>
          <w:szCs w:val="21"/>
          <w:lang w:val="en-US" w:eastAsia="zh-CN"/>
        </w:rPr>
        <w:t xml:space="preserve">5</w:t>
      </w:r>
      <w:r>
        <w:rPr>
          <w:rFonts w:hint="eastAsia" w:ascii="宋体" w:hAnsi="宋体"/>
          <w:bCs/>
          <w:szCs w:val="21"/>
          <w:lang w:eastAsia="zh-CN"/>
        </w:rPr>
        <w:t xml:space="preserve">）</w:t>
      </w:r>
      <w:r>
        <w:rPr>
          <w:rFonts w:hint="eastAsia" w:ascii="宋体" w:hAnsi="宋体"/>
          <w:bCs/>
          <w:szCs w:val="21"/>
        </w:rPr>
        <w:t xml:space="preserve">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20"/>
        <w:spacing w:line="400" w:lineRule="exact"/>
        <w:rPr>
          <w:rFonts w:ascii="宋体" w:hAnsi="宋体" w:cs="宋体"/>
          <w:bCs/>
          <w:szCs w:val="21"/>
          <w:u w:val="single"/>
        </w:rPr>
      </w:pPr>
      <w:r>
        <w:rPr>
          <w:rFonts w:hint="eastAsia" w:ascii="宋体" w:hAnsi="宋体"/>
          <w:bCs/>
          <w:szCs w:val="21"/>
          <w:lang w:eastAsia="zh-CN"/>
        </w:rPr>
        <w:t xml:space="preserve">（</w:t>
      </w:r>
      <w:r>
        <w:rPr>
          <w:rFonts w:hint="eastAsia" w:ascii="宋体" w:hAnsi="宋体"/>
          <w:bCs/>
          <w:szCs w:val="21"/>
          <w:lang w:val="en-US" w:eastAsia="zh-CN"/>
        </w:rPr>
        <w:t xml:space="preserve">6</w:t>
      </w:r>
      <w:r>
        <w:rPr>
          <w:rFonts w:hint="eastAsia" w:ascii="宋体" w:hAnsi="宋体"/>
          <w:bCs/>
          <w:szCs w:val="21"/>
          <w:lang w:eastAsia="zh-CN"/>
        </w:rPr>
        <w:t xml:space="preserve">）</w:t>
      </w:r>
      <w:r>
        <w:rPr>
          <w:rFonts w:hint="eastAsia" w:ascii="宋体" w:hAnsi="宋体"/>
          <w:bCs/>
          <w:szCs w:val="21"/>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numPr>
          <w:ilvl w:val="0"/>
          <w:numId w:val="2"/>
        </w:numPr>
        <w:ind w:firstLine="420"/>
        <w:spacing w:line="400" w:lineRule="exact"/>
        <w:rPr>
          <w:rFonts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pStyle w:val="904"/>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2"/>
        </w:numPr>
        <w:ind w:firstLine="420"/>
        <w:spacing w:line="400" w:lineRule="exact"/>
        <w:rPr>
          <w:rFonts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2"/>
        </w:numPr>
        <w:ind w:firstLine="420"/>
        <w:spacing w:line="400" w:lineRule="exact"/>
        <w:rPr>
          <w:rFonts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rPr>
          <w:rFonts w:ascii="宋体" w:hAnsi="宋体"/>
          <w:b/>
          <w:bCs/>
          <w:szCs w:val="21"/>
        </w:rPr>
      </w:pPr>
      <w:r>
        <w:rPr>
          <w:rFonts w:hint="eastAsia" w:ascii="宋体" w:hAnsi="宋体"/>
          <w:szCs w:val="21"/>
        </w:rPr>
        <w:t xml:space="preserve">附件：具体标的及其技术要求和商务要求、联合协议、分包意向协议等</w:t>
      </w:r>
      <w:r>
        <w:rPr>
          <w:lang w:val="en"/>
        </w:rPr>
        <w:t xml:space="preserve">   </w:t>
      </w:r>
      <w:r/>
    </w:p>
    <w:p>
      <w:pPr>
        <w:pStyle w:val="905"/>
        <w:rPr>
          <w:lang w:eastAsia="zh-CN"/>
        </w:rPr>
      </w:pPr>
      <w:r>
        <w:rPr>
          <w:lang w:eastAsia="zh-CN"/>
        </w:rPr>
      </w:r>
      <w:r/>
    </w:p>
    <w:tbl>
      <w:tblPr>
        <w:tblStyle w:val="893"/>
        <w:tblW w:w="4926" w:type="pct"/>
        <w:tblInd w:w="-114"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08"/>
        <w:gridCol w:w="2819"/>
        <w:gridCol w:w="2312"/>
        <w:gridCol w:w="2476"/>
      </w:tblGrid>
      <w:tr>
        <w:trPr>
          <w:trHeight w:val="490"/>
        </w:trPr>
        <w:tc>
          <w:tcPr>
            <w:gridSpan w:val="2"/>
            <w:tcBorders>
              <w:bottom w:val="single" w:color="auto" w:sz="2" w:space="0"/>
              <w:right w:val="single" w:color="auto" w:sz="2" w:space="0"/>
            </w:tcBorders>
            <w:tcW w:w="2561" w:type="pct"/>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2438" w:type="pct"/>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896"/>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891"/>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4"/>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p>
    <w:p>
      <w:pPr>
        <w:numPr>
          <w:ilvl w:val="0"/>
          <w:numId w:val="5"/>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904"/>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897"/>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97"/>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jc w:val="left"/>
        <w:spacing w:line="400" w:lineRule="exact"/>
        <w:rPr>
          <w:rFonts w:ascii="宋体" w:hAnsi="宋体"/>
          <w:b/>
          <w:bCs/>
          <w:sz w:val="24"/>
        </w:rPr>
      </w:pPr>
      <w:r>
        <w:rPr>
          <w:rFonts w:hint="eastAsia" w:ascii="宋体" w:hAnsi="宋体"/>
          <w:b/>
          <w:bCs/>
          <w:sz w:val="24"/>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04"/>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6"/>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04"/>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904"/>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904"/>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904"/>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04"/>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04"/>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904"/>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904"/>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904"/>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904"/>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7"/>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p>
    <w:p>
      <w:pPr>
        <w:jc w:val="center"/>
        <w:rPr>
          <w:rFonts w:ascii="黑体" w:hAnsi="华文中宋" w:eastAsia="黑体"/>
          <w:b/>
          <w:bCs/>
          <w:sz w:val="28"/>
          <w:szCs w:val="28"/>
        </w:rPr>
      </w:pPr>
      <w:r>
        <w:rPr>
          <w:rFonts w:hint="eastAsia" w:ascii="黑体" w:hAnsi="华文中宋" w:eastAsia="黑体"/>
          <w:sz w:val="28"/>
          <w:szCs w:val="28"/>
        </w:rPr>
        <w:br w:type="page" w:clear="all"/>
      </w:r>
      <w:r>
        <w:rPr>
          <w:rFonts w:hint="eastAsia" w:ascii="黑体" w:hAnsi="华文中宋" w:eastAsia="黑体"/>
          <w:b/>
          <w:bCs/>
          <w:sz w:val="28"/>
          <w:szCs w:val="28"/>
        </w:rPr>
        <w:t xml:space="preserve">第三节 政府采购合同专用条款</w:t>
      </w:r>
      <w:r/>
    </w:p>
    <w:tbl>
      <w:tblPr>
        <w:tblStyle w:val="893"/>
        <w:tblW w:w="8519"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如有质量异议</w:t>
            </w:r>
            <w:r>
              <w:rPr>
                <w:rFonts w:hint="eastAsia" w:ascii="宋体" w:hAnsi="宋体"/>
                <w:szCs w:val="21"/>
                <w:lang w:eastAsia="zh-CN"/>
              </w:rPr>
              <w:t xml:space="preserve">，</w:t>
            </w:r>
            <w:r>
              <w:rPr>
                <w:rFonts w:hint="eastAsia" w:ascii="宋体" w:hAnsi="宋体"/>
                <w:szCs w:val="21"/>
              </w:rPr>
              <w:t xml:space="preserve">甲方在货到一个月内向乙方提出</w:t>
            </w:r>
            <w:r>
              <w:rPr>
                <w:rFonts w:hint="eastAsia" w:ascii="宋体" w:hAnsi="宋体"/>
                <w:szCs w:val="21"/>
                <w:lang w:eastAsia="zh-CN"/>
              </w:rPr>
              <w:t xml:space="preserve">，</w:t>
            </w:r>
            <w:r>
              <w:rPr>
                <w:rFonts w:hint="eastAsia" w:ascii="宋体" w:hAnsi="宋体"/>
                <w:szCs w:val="21"/>
              </w:rPr>
              <w:t xml:space="preserve">乙方应在接到甲方异议的7天内做出书面答复</w:t>
            </w:r>
            <w:r>
              <w:rPr>
                <w:rFonts w:hint="eastAsia" w:ascii="宋体" w:hAnsi="宋体"/>
                <w:szCs w:val="21"/>
                <w:lang w:eastAsia="zh-CN"/>
              </w:rPr>
              <w:t xml:space="preserve">，</w:t>
            </w:r>
            <w:r>
              <w:rPr>
                <w:rFonts w:hint="eastAsia" w:ascii="宋体" w:hAnsi="宋体"/>
                <w:szCs w:val="21"/>
              </w:rPr>
              <w:t xml:space="preserve">逾期则视为乙方同意甲方提出的异议和处理意见。</w:t>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jc w:val="cente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jc w:val="cente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jc w:val="cente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jc w:val="left"/>
              <w:rPr>
                <w:rFonts w:ascii="宋体" w:hAnsi="宋体"/>
                <w:szCs w:val="21"/>
              </w:rPr>
            </w:pPr>
            <w:r>
              <w:rPr>
                <w:rFonts w:hint="eastAsia" w:ascii="宋体" w:hAnsi="宋体"/>
                <w:szCs w:val="21"/>
                <w:lang w:val="en-US" w:eastAsia="zh-CN"/>
              </w:rPr>
              <w:t xml:space="preserve">免费质保期：3年。免费质保期间，乙方免费包维修、保养、安检、调换等；对于甲方人为原因造成的故障，乙方只收取维保成本费用。</w:t>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904"/>
              <w:ind w:firstLine="0"/>
              <w:jc w:val="cente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合同签订后预付合同价的30%，货物运至现场付至合同价的80%，安装调试完毕且经验收合格后一次性付清余款。</w:t>
            </w:r>
            <w:r/>
          </w:p>
        </w:tc>
      </w:tr>
      <w:tr>
        <w:trPr>
          <w:jc w:val="cente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p>
        </w:tc>
      </w:tr>
      <w:tr>
        <w:trPr>
          <w:jc w:val="cente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hint="eastAsia" w:ascii="宋体" w:hAnsi="宋体"/>
                <w:szCs w:val="21"/>
                <w:u w:val="none"/>
              </w:rPr>
            </w:pPr>
            <w:r>
              <w:rPr>
                <w:rFonts w:hint="eastAsia" w:ascii="宋体" w:hAnsi="宋体"/>
                <w:szCs w:val="21"/>
                <w:u w:val="none"/>
              </w:rPr>
              <w:t xml:space="preserve">1</w:t>
            </w:r>
            <w:r>
              <w:rPr>
                <w:rFonts w:hint="eastAsia" w:ascii="宋体" w:hAnsi="宋体"/>
                <w:szCs w:val="21"/>
                <w:u w:val="none"/>
                <w:lang w:val="en-US" w:eastAsia="zh-CN"/>
              </w:rPr>
              <w:t xml:space="preserve">.</w:t>
            </w:r>
            <w:r>
              <w:rPr>
                <w:rFonts w:hint="eastAsia" w:ascii="宋体" w:hAnsi="宋体"/>
                <w:szCs w:val="21"/>
                <w:u w:val="none"/>
                <w:lang w:eastAsia="zh-CN"/>
              </w:rPr>
              <w:t xml:space="preserve">甲方</w:t>
            </w:r>
            <w:r>
              <w:rPr>
                <w:rFonts w:hint="eastAsia" w:ascii="宋体" w:hAnsi="宋体"/>
                <w:szCs w:val="21"/>
                <w:u w:val="none"/>
              </w:rPr>
              <w:t xml:space="preserve">无正当理由拒收货物的，</w:t>
            </w:r>
            <w:r>
              <w:rPr>
                <w:rFonts w:hint="eastAsia" w:ascii="宋体" w:hAnsi="宋体"/>
                <w:szCs w:val="21"/>
                <w:u w:val="none"/>
                <w:lang w:eastAsia="zh-CN"/>
              </w:rPr>
              <w:t xml:space="preserve">甲方</w:t>
            </w:r>
            <w:r>
              <w:rPr>
                <w:rFonts w:hint="eastAsia" w:ascii="宋体" w:hAnsi="宋体"/>
                <w:szCs w:val="21"/>
                <w:u w:val="none"/>
              </w:rPr>
              <w:t xml:space="preserve">向</w:t>
            </w:r>
            <w:r>
              <w:rPr>
                <w:rFonts w:hint="eastAsia" w:ascii="宋体" w:hAnsi="宋体"/>
                <w:szCs w:val="21"/>
                <w:u w:val="none"/>
                <w:lang w:eastAsia="zh-CN"/>
              </w:rPr>
              <w:t xml:space="preserve">乙方</w:t>
            </w:r>
            <w:r>
              <w:rPr>
                <w:rFonts w:hint="eastAsia" w:ascii="宋体" w:hAnsi="宋体"/>
                <w:szCs w:val="21"/>
                <w:u w:val="none"/>
              </w:rPr>
              <w:t xml:space="preserve">偿付拒收货款总值的百分之五违约金。</w:t>
            </w:r>
            <w:r/>
          </w:p>
          <w:p>
            <w:pPr>
              <w:jc w:val="left"/>
              <w:rPr>
                <w:rFonts w:hint="eastAsia" w:ascii="宋体" w:hAnsi="宋体"/>
                <w:szCs w:val="21"/>
                <w:u w:val="none"/>
              </w:rPr>
            </w:pPr>
            <w:r>
              <w:rPr>
                <w:rFonts w:hint="eastAsia" w:ascii="宋体" w:hAnsi="宋体"/>
                <w:szCs w:val="21"/>
                <w:u w:val="none"/>
              </w:rPr>
              <w:t xml:space="preserve">2.</w:t>
            </w:r>
            <w:r>
              <w:rPr>
                <w:rFonts w:hint="eastAsia" w:ascii="宋体" w:hAnsi="宋体"/>
                <w:szCs w:val="21"/>
                <w:u w:val="none"/>
                <w:lang w:eastAsia="zh-CN"/>
              </w:rPr>
              <w:t xml:space="preserve">甲方</w:t>
            </w:r>
            <w:r>
              <w:rPr>
                <w:rFonts w:hint="eastAsia" w:ascii="宋体" w:hAnsi="宋体"/>
                <w:szCs w:val="21"/>
                <w:u w:val="none"/>
              </w:rPr>
              <w:t xml:space="preserve">无故逾期验收和办理货款支付手续的</w:t>
            </w:r>
            <w:r>
              <w:rPr>
                <w:rFonts w:hint="eastAsia" w:ascii="宋体" w:hAnsi="宋体"/>
                <w:szCs w:val="21"/>
                <w:u w:val="none"/>
                <w:lang w:eastAsia="zh-CN"/>
              </w:rPr>
              <w:t xml:space="preserve">，甲方</w:t>
            </w:r>
            <w:r>
              <w:rPr>
                <w:rFonts w:hint="eastAsia" w:ascii="宋体" w:hAnsi="宋体"/>
                <w:szCs w:val="21"/>
                <w:u w:val="none"/>
              </w:rPr>
              <w:t xml:space="preserve">应按逾期付款总额每日万分之五向</w:t>
            </w:r>
            <w:r>
              <w:rPr>
                <w:rFonts w:hint="eastAsia" w:ascii="宋体" w:hAnsi="宋体"/>
                <w:szCs w:val="21"/>
                <w:u w:val="none"/>
                <w:lang w:eastAsia="zh-CN"/>
              </w:rPr>
              <w:t xml:space="preserve">乙方</w:t>
            </w:r>
            <w:r>
              <w:rPr>
                <w:rFonts w:hint="eastAsia" w:ascii="宋体" w:hAnsi="宋体"/>
                <w:szCs w:val="21"/>
                <w:u w:val="none"/>
              </w:rPr>
              <w:t xml:space="preserve">支付违约金。</w:t>
            </w:r>
            <w:r/>
          </w:p>
          <w:p>
            <w:pPr>
              <w:jc w:val="left"/>
              <w:rPr>
                <w:rFonts w:hint="eastAsia" w:ascii="宋体" w:hAnsi="宋体"/>
                <w:szCs w:val="21"/>
                <w:u w:val="none"/>
              </w:rPr>
            </w:pPr>
            <w:r>
              <w:rPr>
                <w:rFonts w:hint="eastAsia" w:ascii="宋体" w:hAnsi="宋体"/>
                <w:szCs w:val="21"/>
                <w:u w:val="none"/>
              </w:rPr>
              <w:t xml:space="preserve">3.</w:t>
            </w:r>
            <w:r>
              <w:rPr>
                <w:rFonts w:hint="eastAsia" w:ascii="宋体" w:hAnsi="宋体"/>
                <w:szCs w:val="21"/>
                <w:u w:val="none"/>
                <w:lang w:eastAsia="zh-CN"/>
              </w:rPr>
              <w:t xml:space="preserve">乙方</w:t>
            </w:r>
            <w:r>
              <w:rPr>
                <w:rFonts w:hint="eastAsia" w:ascii="宋体" w:hAnsi="宋体"/>
                <w:szCs w:val="21"/>
                <w:u w:val="none"/>
              </w:rPr>
              <w:t xml:space="preserve">逾期交付货物的，</w:t>
            </w:r>
            <w:r>
              <w:rPr>
                <w:rFonts w:hint="eastAsia" w:ascii="宋体" w:hAnsi="宋体"/>
                <w:szCs w:val="21"/>
                <w:u w:val="none"/>
                <w:lang w:eastAsia="zh-CN"/>
              </w:rPr>
              <w:t xml:space="preserve">乙方</w:t>
            </w:r>
            <w:r>
              <w:rPr>
                <w:rFonts w:hint="eastAsia" w:ascii="宋体" w:hAnsi="宋体"/>
                <w:szCs w:val="21"/>
                <w:u w:val="none"/>
              </w:rPr>
              <w:t xml:space="preserve">应按逾期交货总额每日千分之六向</w:t>
            </w:r>
            <w:r>
              <w:rPr>
                <w:rFonts w:hint="eastAsia" w:ascii="宋体" w:hAnsi="宋体"/>
                <w:szCs w:val="21"/>
                <w:u w:val="none"/>
                <w:lang w:eastAsia="zh-CN"/>
              </w:rPr>
              <w:t xml:space="preserve">甲方</w:t>
            </w:r>
            <w:r>
              <w:rPr>
                <w:rFonts w:hint="eastAsia" w:ascii="宋体" w:hAnsi="宋体"/>
                <w:szCs w:val="21"/>
                <w:u w:val="none"/>
              </w:rPr>
              <w:t xml:space="preserve">支付违约金，由</w:t>
            </w:r>
            <w:r>
              <w:rPr>
                <w:rFonts w:hint="eastAsia" w:ascii="宋体" w:hAnsi="宋体"/>
                <w:szCs w:val="21"/>
                <w:u w:val="none"/>
                <w:lang w:eastAsia="zh-CN"/>
              </w:rPr>
              <w:t xml:space="preserve">甲方</w:t>
            </w:r>
            <w:r>
              <w:rPr>
                <w:rFonts w:hint="eastAsia" w:ascii="宋体" w:hAnsi="宋体"/>
                <w:szCs w:val="21"/>
                <w:u w:val="none"/>
              </w:rPr>
              <w:t xml:space="preserve">从待付货款中扣除。逾期超过约定日期10个工作日不能交货的，</w:t>
            </w:r>
            <w:r>
              <w:rPr>
                <w:rFonts w:hint="eastAsia" w:ascii="宋体" w:hAnsi="宋体"/>
                <w:szCs w:val="21"/>
                <w:u w:val="none"/>
                <w:lang w:eastAsia="zh-CN"/>
              </w:rPr>
              <w:t xml:space="preserve">甲方</w:t>
            </w:r>
            <w:r>
              <w:rPr>
                <w:rFonts w:hint="eastAsia" w:ascii="宋体" w:hAnsi="宋体"/>
                <w:szCs w:val="21"/>
                <w:u w:val="none"/>
              </w:rPr>
              <w:t xml:space="preserve">可解除本合同。</w:t>
            </w:r>
            <w:r>
              <w:rPr>
                <w:rFonts w:hint="eastAsia" w:ascii="宋体" w:hAnsi="宋体"/>
                <w:szCs w:val="21"/>
                <w:u w:val="none"/>
                <w:lang w:eastAsia="zh-CN"/>
              </w:rPr>
              <w:t xml:space="preserve">乙方</w:t>
            </w:r>
            <w:r>
              <w:rPr>
                <w:rFonts w:hint="eastAsia" w:ascii="宋体" w:hAnsi="宋体"/>
                <w:szCs w:val="21"/>
                <w:u w:val="none"/>
              </w:rPr>
              <w:t xml:space="preserve">因逾期交货或因其他违约行为导致</w:t>
            </w:r>
            <w:r>
              <w:rPr>
                <w:rFonts w:hint="eastAsia" w:ascii="宋体" w:hAnsi="宋体"/>
                <w:szCs w:val="21"/>
                <w:u w:val="none"/>
                <w:lang w:eastAsia="zh-CN"/>
              </w:rPr>
              <w:t xml:space="preserve">甲方</w:t>
            </w:r>
            <w:r>
              <w:rPr>
                <w:rFonts w:hint="eastAsia" w:ascii="宋体" w:hAnsi="宋体"/>
                <w:szCs w:val="21"/>
                <w:u w:val="none"/>
              </w:rPr>
              <w:t xml:space="preserve">解除合同的，</w:t>
            </w:r>
            <w:r>
              <w:rPr>
                <w:rFonts w:hint="eastAsia" w:ascii="宋体" w:hAnsi="宋体"/>
                <w:szCs w:val="21"/>
                <w:u w:val="none"/>
                <w:lang w:eastAsia="zh-CN"/>
              </w:rPr>
              <w:t xml:space="preserve">乙方</w:t>
            </w:r>
            <w:r>
              <w:rPr>
                <w:rFonts w:hint="eastAsia" w:ascii="宋体" w:hAnsi="宋体"/>
                <w:szCs w:val="21"/>
                <w:u w:val="none"/>
              </w:rPr>
              <w:t xml:space="preserve">应向</w:t>
            </w:r>
            <w:r>
              <w:rPr>
                <w:rFonts w:hint="eastAsia" w:ascii="宋体" w:hAnsi="宋体"/>
                <w:szCs w:val="21"/>
                <w:u w:val="none"/>
                <w:lang w:eastAsia="zh-CN"/>
              </w:rPr>
              <w:t xml:space="preserve">甲方</w:t>
            </w:r>
            <w:r>
              <w:rPr>
                <w:rFonts w:hint="eastAsia" w:ascii="宋体" w:hAnsi="宋体"/>
                <w:szCs w:val="21"/>
                <w:u w:val="none"/>
              </w:rPr>
              <w:t xml:space="preserve">支付合同总值5%的违约金，如造成</w:t>
            </w:r>
            <w:r>
              <w:rPr>
                <w:rFonts w:hint="eastAsia" w:ascii="宋体" w:hAnsi="宋体"/>
                <w:szCs w:val="21"/>
                <w:u w:val="none"/>
                <w:lang w:eastAsia="zh-CN"/>
              </w:rPr>
              <w:t xml:space="preserve">甲方</w:t>
            </w:r>
            <w:r>
              <w:rPr>
                <w:rFonts w:hint="eastAsia" w:ascii="宋体" w:hAnsi="宋体"/>
                <w:szCs w:val="21"/>
                <w:u w:val="none"/>
              </w:rPr>
              <w:t xml:space="preserve">损失超过违约金的，超出部分由</w:t>
            </w:r>
            <w:r>
              <w:rPr>
                <w:rFonts w:hint="eastAsia" w:ascii="宋体" w:hAnsi="宋体"/>
                <w:szCs w:val="21"/>
                <w:u w:val="none"/>
                <w:lang w:eastAsia="zh-CN"/>
              </w:rPr>
              <w:t xml:space="preserve">乙方</w:t>
            </w:r>
            <w:r>
              <w:rPr>
                <w:rFonts w:hint="eastAsia" w:ascii="宋体" w:hAnsi="宋体"/>
                <w:szCs w:val="21"/>
                <w:u w:val="none"/>
              </w:rPr>
              <w:t xml:space="preserve">继续承担赔偿责任。 </w:t>
            </w:r>
            <w:r/>
          </w:p>
          <w:p>
            <w:pPr>
              <w:jc w:val="left"/>
              <w:rPr>
                <w:rFonts w:hint="eastAsia" w:ascii="宋体" w:hAnsi="宋体"/>
                <w:szCs w:val="21"/>
                <w:u w:val="none"/>
              </w:rPr>
            </w:pPr>
            <w:r>
              <w:rPr>
                <w:rFonts w:hint="eastAsia" w:ascii="宋体" w:hAnsi="宋体"/>
                <w:szCs w:val="21"/>
                <w:u w:val="none"/>
              </w:rPr>
              <w:t xml:space="preserve">4.</w:t>
            </w:r>
            <w:r>
              <w:rPr>
                <w:rFonts w:hint="eastAsia" w:ascii="宋体" w:hAnsi="宋体"/>
                <w:szCs w:val="21"/>
                <w:u w:val="none"/>
                <w:lang w:eastAsia="zh-CN"/>
              </w:rPr>
              <w:t xml:space="preserve">乙方</w:t>
            </w:r>
            <w:r>
              <w:rPr>
                <w:rFonts w:hint="eastAsia" w:ascii="宋体" w:hAnsi="宋体"/>
                <w:szCs w:val="21"/>
                <w:u w:val="none"/>
              </w:rPr>
              <w:t xml:space="preserve">所交的货物品种、型号、规格、技术参数、质量不符合合同规定及</w:t>
            </w:r>
            <w:r>
              <w:rPr>
                <w:rFonts w:hint="eastAsia" w:ascii="宋体" w:hAnsi="宋体"/>
                <w:szCs w:val="21"/>
                <w:u w:val="none"/>
                <w:lang w:eastAsia="zh-CN"/>
              </w:rPr>
              <w:t xml:space="preserve">招标文件</w:t>
            </w:r>
            <w:r>
              <w:rPr>
                <w:rFonts w:hint="eastAsia" w:ascii="宋体" w:hAnsi="宋体"/>
                <w:szCs w:val="21"/>
                <w:u w:val="none"/>
              </w:rPr>
              <w:t xml:space="preserve">规定标准的，</w:t>
            </w:r>
            <w:r>
              <w:rPr>
                <w:rFonts w:hint="eastAsia" w:ascii="宋体" w:hAnsi="宋体"/>
                <w:szCs w:val="21"/>
                <w:u w:val="none"/>
                <w:lang w:eastAsia="zh-CN"/>
              </w:rPr>
              <w:t xml:space="preserve">甲方</w:t>
            </w:r>
            <w:r>
              <w:rPr>
                <w:rFonts w:hint="eastAsia" w:ascii="宋体" w:hAnsi="宋体"/>
                <w:szCs w:val="21"/>
                <w:u w:val="none"/>
              </w:rPr>
              <w:t xml:space="preserve">有权拒收该货物，</w:t>
            </w:r>
            <w:r>
              <w:rPr>
                <w:rFonts w:hint="eastAsia" w:ascii="宋体" w:hAnsi="宋体"/>
                <w:szCs w:val="21"/>
                <w:u w:val="none"/>
                <w:lang w:eastAsia="zh-CN"/>
              </w:rPr>
              <w:t xml:space="preserve">乙方</w:t>
            </w:r>
            <w:r>
              <w:rPr>
                <w:rFonts w:hint="eastAsia" w:ascii="宋体" w:hAnsi="宋体"/>
                <w:szCs w:val="21"/>
                <w:u w:val="none"/>
              </w:rPr>
              <w:t xml:space="preserve">愿意更换货物但逾期交货的，按</w:t>
            </w:r>
            <w:r>
              <w:rPr>
                <w:rFonts w:hint="eastAsia" w:ascii="宋体" w:hAnsi="宋体"/>
                <w:szCs w:val="21"/>
                <w:u w:val="none"/>
                <w:lang w:eastAsia="zh-CN"/>
              </w:rPr>
              <w:t xml:space="preserve">乙方</w:t>
            </w:r>
            <w:r>
              <w:rPr>
                <w:rFonts w:hint="eastAsia" w:ascii="宋体" w:hAnsi="宋体"/>
                <w:szCs w:val="21"/>
                <w:u w:val="none"/>
              </w:rPr>
              <w:t xml:space="preserve">逾期交货处理。</w:t>
            </w:r>
            <w:r>
              <w:rPr>
                <w:rFonts w:hint="eastAsia" w:ascii="宋体" w:hAnsi="宋体"/>
                <w:szCs w:val="21"/>
                <w:u w:val="none"/>
                <w:lang w:eastAsia="zh-CN"/>
              </w:rPr>
              <w:t xml:space="preserve">乙方</w:t>
            </w:r>
            <w:r>
              <w:rPr>
                <w:rFonts w:hint="eastAsia" w:ascii="宋体" w:hAnsi="宋体"/>
                <w:szCs w:val="21"/>
                <w:u w:val="none"/>
              </w:rPr>
              <w:t xml:space="preserve">拒绝更换货物的，</w:t>
            </w:r>
            <w:r>
              <w:rPr>
                <w:rFonts w:hint="eastAsia" w:ascii="宋体" w:hAnsi="宋体"/>
                <w:szCs w:val="21"/>
                <w:u w:val="none"/>
                <w:lang w:eastAsia="zh-CN"/>
              </w:rPr>
              <w:t xml:space="preserve">甲方</w:t>
            </w:r>
            <w:r>
              <w:rPr>
                <w:rFonts w:hint="eastAsia" w:ascii="宋体" w:hAnsi="宋体"/>
                <w:szCs w:val="21"/>
                <w:u w:val="none"/>
              </w:rPr>
              <w:t xml:space="preserve">可单方面解除合同。</w:t>
            </w:r>
            <w:r/>
          </w:p>
          <w:p>
            <w:pPr>
              <w:jc w:val="left"/>
              <w:rPr>
                <w:rFonts w:hint="eastAsia" w:ascii="宋体" w:hAnsi="宋体"/>
                <w:szCs w:val="21"/>
                <w:u w:val="none"/>
              </w:rPr>
            </w:pPr>
            <w:r>
              <w:rPr>
                <w:rFonts w:hint="eastAsia" w:ascii="宋体" w:hAnsi="宋体"/>
                <w:szCs w:val="21"/>
                <w:u w:val="none"/>
              </w:rPr>
              <w:t xml:space="preserve">5.由于一方违约造成的损失，由违约方承担，另一方要求违约方继续履行合同时，违约方承担上述违约责任后仍应继续履行合同。 </w:t>
            </w:r>
            <w:r/>
          </w:p>
          <w:p>
            <w:pPr>
              <w:jc w:val="left"/>
              <w:rPr>
                <w:rFonts w:ascii="宋体" w:hAnsi="宋体"/>
                <w:szCs w:val="21"/>
                <w:u w:val="single"/>
              </w:rPr>
            </w:pPr>
            <w:r>
              <w:rPr>
                <w:rFonts w:hint="eastAsia" w:ascii="宋体" w:hAnsi="宋体"/>
                <w:szCs w:val="21"/>
                <w:u w:val="none"/>
              </w:rPr>
              <w:t xml:space="preserve">6.由于违约造成第三方损失的，也由违约方在赔偿另一方损失的基础上再赔偿第三方损失。</w:t>
            </w:r>
            <w:r/>
          </w:p>
        </w:tc>
      </w:tr>
      <w:tr>
        <w:trPr>
          <w:jc w:val="cente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lang w:val="en-US" w:eastAsia="zh-CN"/>
              </w:rPr>
              <w:t xml:space="preserve">2</w:t>
            </w:r>
            <w:r>
              <w:rPr>
                <w:rFonts w:hint="eastAsia" w:ascii="宋体" w:hAnsi="宋体" w:cs="宋体"/>
                <w:iCs/>
                <w:szCs w:val="21"/>
              </w:rPr>
              <w:t xml:space="preserve">种方式解决：</w:t>
            </w:r>
            <w:r/>
          </w:p>
          <w:p>
            <w:pPr>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lang w:val="en-US" w:eastAsia="zh-CN"/>
              </w:rPr>
              <w:t xml:space="preserve">甲方所在地</w:t>
            </w:r>
            <w:r>
              <w:rPr>
                <w:rFonts w:hint="eastAsia" w:ascii="宋体" w:hAnsi="宋体" w:cs="宋体"/>
                <w:iCs/>
                <w:szCs w:val="21"/>
              </w:rPr>
              <w:t xml:space="preserve">人民法院起诉。</w:t>
            </w:r>
            <w:r/>
          </w:p>
        </w:tc>
      </w:tr>
      <w:tr>
        <w:trPr>
          <w:jc w:val="cente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r>
            <w:r/>
          </w:p>
        </w:tc>
      </w:tr>
    </w:tbl>
    <w:p>
      <w:pPr>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br w:type="page" w:clear="all"/>
      </w:r>
      <w:r>
        <w:rPr>
          <w:rFonts w:hint="eastAsia" w:ascii="黑体" w:hAnsi="Courier New" w:eastAsia="黑体" w:cs="Courier New"/>
          <w:bCs/>
          <w:color w:val="000000"/>
          <w:sz w:val="44"/>
          <w:szCs w:val="21"/>
        </w:rPr>
        <w:t xml:space="preserve">第</w:t>
      </w:r>
      <w:bookmarkEnd w:id="176"/>
      <w:r>
        <w:rPr>
          <w:rFonts w:hint="eastAsia" w:ascii="黑体" w:hAnsi="Courier New" w:eastAsia="黑体" w:cs="Courier New"/>
          <w:bCs/>
          <w:color w:val="000000"/>
          <w:sz w:val="44"/>
          <w:szCs w:val="21"/>
        </w:rPr>
        <w:t xml:space="preserve">四章 采购需求</w:t>
      </w:r>
      <w:bookmarkEnd w:id="177"/>
      <w:r/>
      <w:bookmarkEnd w:id="178"/>
      <w:r/>
      <w:bookmarkEnd w:id="179"/>
      <w:r/>
      <w:r/>
    </w:p>
    <w:p>
      <w:pPr>
        <w:spacing w:line="0" w:lineRule="atLeast"/>
        <w:rPr>
          <w:rFonts w:ascii="宋体" w:hAnsi="宋体"/>
          <w:color w:val="000000"/>
          <w:sz w:val="24"/>
          <w:szCs w:val="24"/>
        </w:rPr>
      </w:pPr>
      <w:r/>
      <w:bookmarkStart w:id="182" w:name="_Toc49090575"/>
      <w:r/>
      <w:bookmarkStart w:id="183" w:name="_Toc26554093"/>
      <w:r/>
      <w:r/>
    </w:p>
    <w:p>
      <w:pPr>
        <w:spacing w:line="0" w:lineRule="atLeast"/>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rPr>
          <w:rFonts w:hint="eastAsia" w:ascii="宋体" w:hAnsi="宋体" w:eastAsia="宋体" w:cs="Times New Roman"/>
          <w:b/>
          <w:bCs w:val="0"/>
          <w:color w:val="000000"/>
          <w:sz w:val="24"/>
          <w:szCs w:val="24"/>
          <w:highlight w:val="none"/>
          <w:lang w:val="en-US" w:eastAsia="zh-CN"/>
        </w:rPr>
        <w:t xml:space="preserve">（</w:t>
      </w:r>
      <w:r>
        <w:rPr>
          <w:rFonts w:hint="eastAsia" w:ascii="宋体" w:hAnsi="宋体" w:eastAsia="宋体" w:cs="宋体"/>
          <w:b/>
          <w:bCs w:val="0"/>
          <w:sz w:val="24"/>
          <w:szCs w:val="24"/>
          <w:highlight w:val="none"/>
        </w:rPr>
        <w:t xml:space="preserve">其中</w:t>
      </w:r>
      <w:r>
        <w:rPr>
          <w:rFonts w:hint="eastAsia" w:ascii="宋体" w:hAnsi="宋体" w:eastAsia="宋体" w:cs="宋体"/>
          <w:b/>
          <w:bCs w:val="0"/>
          <w:sz w:val="24"/>
          <w:szCs w:val="21"/>
          <w:highlight w:val="none"/>
        </w:rPr>
        <w:t xml:space="preserve">加*号条款为实质性要求</w:t>
      </w:r>
      <w:r>
        <w:rPr>
          <w:rFonts w:hint="eastAsia" w:ascii="宋体" w:hAnsi="宋体" w:eastAsia="宋体" w:cs="Times New Roman"/>
          <w:b/>
          <w:bCs w:val="0"/>
          <w:color w:val="000000"/>
          <w:sz w:val="24"/>
          <w:szCs w:val="24"/>
          <w:highlight w:val="none"/>
          <w:lang w:val="en-US" w:eastAsia="zh-CN"/>
        </w:rPr>
        <w:t xml:space="preserve">）</w:t>
      </w:r>
      <w:r/>
    </w:p>
    <w:tbl>
      <w:tblPr>
        <w:tblStyle w:val="89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jc w:val="center"/>
        </w:trPr>
        <w:tc>
          <w:tcPr>
            <w:tcW w:w="545"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采购包</w:t>
            </w:r>
            <w:r/>
          </w:p>
        </w:tc>
        <w:tc>
          <w:tcPr>
            <w:tcW w:w="329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85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Pr>
        <w:tc>
          <w:tcPr>
            <w:tcW w:w="545" w:type="dxa"/>
            <w:vAlign w:val="top"/>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1</w:t>
            </w:r>
            <w:r/>
          </w:p>
        </w:tc>
        <w:tc>
          <w:tcPr>
            <w:tcW w:w="329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lang w:eastAsia="zh-CN"/>
              </w:rPr>
              <w:t xml:space="preserve">黎城卫生院异地新建项目医疗家具采购</w:t>
            </w:r>
            <w:r/>
          </w:p>
        </w:tc>
        <w:tc>
          <w:tcPr>
            <w:tcW w:w="28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lang w:val="en-US" w:eastAsia="zh-CN"/>
              </w:rPr>
              <w:t xml:space="preserve">工业</w:t>
            </w:r>
            <w:r/>
          </w:p>
        </w:tc>
      </w:tr>
    </w:tbl>
    <w:tbl>
      <w:tblPr>
        <w:tblStyle w:val="893"/>
        <w:tblpPr w:horzAnchor="page" w:tblpXSpec="center" w:vertAnchor="text" w:tblpY="354" w:leftFromText="180" w:topFromText="0" w:rightFromText="180" w:bottomFromText="0"/>
        <w:tblW w:w="932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47"/>
        <w:gridCol w:w="1188"/>
        <w:gridCol w:w="1872"/>
        <w:gridCol w:w="1643"/>
        <w:gridCol w:w="697"/>
        <w:gridCol w:w="537"/>
        <w:gridCol w:w="2736"/>
      </w:tblGrid>
      <w:tr>
        <w:trPr>
          <w:jc w:val="center"/>
          <w:trHeight w:val="0"/>
          <w:tblHeader/>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产品名称</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参考图片</w: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规格尺寸/型号</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合计数量</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default" w:ascii="微软雅黑" w:hAnsi="微软雅黑" w:eastAsia="微软雅黑" w:cs="微软雅黑"/>
                <w:b/>
                <w:bCs/>
                <w:i w:val="0"/>
                <w:iCs w:val="0"/>
                <w:color w:val="000000"/>
                <w:sz w:val="22"/>
                <w:szCs w:val="22"/>
                <w:u w:val="none"/>
                <w:lang w:val="en-US"/>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技术参数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办公桌</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775970" cy="715010"/>
                      <wp:effectExtent l="0" t="0" r="1270" b="127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1" descr="IMG_256"/>
                              <pic:cNvPicPr>
                                <a:picLocks noChangeAspect="1"/>
                              </pic:cNvPicPr>
                              <pic:nvPr/>
                            </pic:nvPicPr>
                            <pic:blipFill>
                              <a:blip r:embed="rId14"/>
                              <a:stretch/>
                            </pic:blipFill>
                            <pic:spPr bwMode="auto">
                              <a:xfrm>
                                <a:off x="0" y="0"/>
                                <a:ext cx="775970" cy="715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1.1pt;height:56.3pt;mso-wrap-distance-left:0.0pt;mso-wrap-distance-top:0.0pt;mso-wrap-distance-right:0.0pt;mso-wrap-distance-bottom:0.0pt;" stroked="f">
                      <v:path textboxrect="0,0,0,0"/>
                      <v:imagedata r:id="rId14"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1000*600*750</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1.基材：采用品牌环保抗菌刨花板，经防虫，防腐处理，抗弯力强，不易变形。</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2.封边：采用合格品牌封边条，符合QB/T4463-2013《家具用封边条技术要求》标准。</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3.导轨：抽拉自如，抽屉内能放置30kg负载重量，开关顺滑，双叠全拉带定位结构，防止滑出，静音效果好，使用寿命长。</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4.工艺：采用先进加工工艺，保证产品的精度和外观标准，结构稳固。</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办公桌</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687705" cy="542290"/>
                      <wp:effectExtent l="0" t="0" r="13335" b="6350"/>
                      <wp:docPr id="2"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2" descr="IMG_257"/>
                              <pic:cNvPicPr>
                                <a:picLocks noChangeAspect="1"/>
                              </pic:cNvPicPr>
                              <pic:nvPr/>
                            </pic:nvPicPr>
                            <pic:blipFill>
                              <a:blip r:embed="rId15"/>
                              <a:stretch/>
                            </pic:blipFill>
                            <pic:spPr bwMode="auto">
                              <a:xfrm>
                                <a:off x="0" y="0"/>
                                <a:ext cx="687705" cy="5422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4.1pt;height:42.7pt;mso-wrap-distance-left:0.0pt;mso-wrap-distance-top:0.0pt;mso-wrap-distance-right:0.0pt;mso-wrap-distance-bottom:0.0pt;" stroked="f">
                      <v:path textboxrect="0,0,0,0"/>
                      <v:imagedata r:id="rId15"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1200*600*750</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1.基材：采用品牌环保抗菌刨花板，经防虫，防腐处理，抗弯力强，不易变形。</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2.封边：采用合格品牌封边条，符合QB/T4463-2013《家具用封边条技术要求》标准。</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3.导轨：抽拉自如，抽屉内能放置30kg负载重量，开关顺滑，双叠全拉带定位结构，防止滑出，静音效果好，使用寿命长。</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4.工艺：采用先进加工工艺，保证产品的精度和外观标准，结构稳固。</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办公桌</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695325" cy="429260"/>
                      <wp:effectExtent l="0" t="0" r="5715" b="12700"/>
                      <wp:docPr id="3"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IMG_258"/>
                              <pic:cNvPicPr>
                                <a:picLocks noChangeAspect="1"/>
                              </pic:cNvPicPr>
                              <pic:nvPr/>
                            </pic:nvPicPr>
                            <pic:blipFill>
                              <a:blip r:embed="rId16"/>
                              <a:stretch/>
                            </pic:blipFill>
                            <pic:spPr bwMode="auto">
                              <a:xfrm>
                                <a:off x="0" y="0"/>
                                <a:ext cx="695325" cy="429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4.8pt;height:33.8pt;mso-wrap-distance-left:0.0pt;mso-wrap-distance-top:0.0pt;mso-wrap-distance-right:0.0pt;mso-wrap-distance-bottom:0.0pt;" stroked="f">
                      <v:path textboxrect="0,0,0,0"/>
                      <v:imagedata r:id="rId16"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1400*600*750</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1.基材：采用品牌环保抗菌刨花板，经防虫，防腐处理，抗弯力强，不易变形。</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2.封边：采用合格品牌封边条，符合QB/T4463-2013《家具用封边条技术要求》标准。</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3.导轨：抽拉自如，抽屉内能放置30kg负载重量，开关顺滑，双叠全拉带定位结构，防止滑出，静音效果好，使用寿命长。</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4.工艺：采用先进加工工艺，保证产品的精度和外观标准，结构稳固。</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办公桌</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685800" cy="429260"/>
                      <wp:effectExtent l="0" t="0" r="0" b="12700"/>
                      <wp:docPr id="4"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IMG_259"/>
                              <pic:cNvPicPr>
                                <a:picLocks noChangeAspect="1"/>
                              </pic:cNvPicPr>
                              <pic:nvPr/>
                            </pic:nvPicPr>
                            <pic:blipFill>
                              <a:blip r:embed="rId17"/>
                              <a:stretch/>
                            </pic:blipFill>
                            <pic:spPr bwMode="auto">
                              <a:xfrm>
                                <a:off x="0" y="0"/>
                                <a:ext cx="685800" cy="429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4.0pt;height:33.8pt;mso-wrap-distance-left:0.0pt;mso-wrap-distance-top:0.0pt;mso-wrap-distance-right:0.0pt;mso-wrap-distance-bottom:0.0pt;" stroked="f">
                      <v:path textboxrect="0,0,0,0"/>
                      <v:imagedata r:id="rId17"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1500*1500*750</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1.基材：采用品牌环保抗菌刨花板，经防虫，防腐处理，抗弯力强，不易变形。</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2.封边：采用合格品牌封边条，符合QB/T4463-2013《家具用封边条技术要求》标准。</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3.导轨：抽拉自如，抽屉内能放置30kg负载重量，开关顺滑，双叠全拉带定位结构，防止滑出，静音效果好，使用寿命长。</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4.工艺：采用先进加工工艺，保证产品的精度和外观标准，结构稳固。</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诊桌</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589915" cy="429260"/>
                      <wp:effectExtent l="0" t="0" r="4445" b="12700"/>
                      <wp:docPr id="5"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IMG_260"/>
                              <pic:cNvPicPr>
                                <a:picLocks noChangeAspect="1"/>
                              </pic:cNvPicPr>
                              <pic:nvPr/>
                            </pic:nvPicPr>
                            <pic:blipFill>
                              <a:blip r:embed="rId18"/>
                              <a:stretch/>
                            </pic:blipFill>
                            <pic:spPr bwMode="auto">
                              <a:xfrm>
                                <a:off x="0" y="0"/>
                                <a:ext cx="589915" cy="429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6.4pt;height:33.8pt;mso-wrap-distance-left:0.0pt;mso-wrap-distance-top:0.0pt;mso-wrap-distance-right:0.0pt;mso-wrap-distance-bottom:0.0pt;" stroked="f">
                      <v:path textboxrect="0,0,0,0"/>
                      <v:imagedata r:id="rId18"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1500*1500*750</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基材：采用品牌环保抗菌中密度纤维板，厚度≥18mm，结构稳固，表面采用钢琴烤漆工艺，漆面达到镜面效果，致密性高，稳定性强，色彩饱满丰富、历久常新，表面质感细腻、光洁、平整，无滴挂、气泡、针孔、起鼓等现象，具有防火、防污、耐磨等特点。</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2.采用品牌水性油漆，色彩多样，具有环保、防腐、防水、耐化学品、耐光、耐温等特点。</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3.导轨：抽拉自如，抽屉内能放置30kg负载重量，开关顺滑，双叠全拉带定位结构，防止滑出，静音效果好，使用寿命长。</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4.铰链，</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5.工艺：采用先进加工工艺，保证产品的精度和外观标准，结构稳固。</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诊桌</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570865" cy="429260"/>
                      <wp:effectExtent l="0" t="0" r="8255" b="12700"/>
                      <wp:docPr id="6"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6" descr="IMG_261"/>
                              <pic:cNvPicPr>
                                <a:picLocks noChangeAspect="1"/>
                              </pic:cNvPicPr>
                              <pic:nvPr/>
                            </pic:nvPicPr>
                            <pic:blipFill>
                              <a:blip r:embed="rId19"/>
                              <a:stretch/>
                            </pic:blipFill>
                            <pic:spPr bwMode="auto">
                              <a:xfrm>
                                <a:off x="0" y="0"/>
                                <a:ext cx="570865" cy="429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4.9pt;height:33.8pt;mso-wrap-distance-left:0.0pt;mso-wrap-distance-top:0.0pt;mso-wrap-distance-right:0.0pt;mso-wrap-distance-bottom:0.0pt;" stroked="f">
                      <v:path textboxrect="0,0,0,0"/>
                      <v:imagedata r:id="rId19"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1500*1500*750</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1.基材：采用品牌环保抗菌刨花板，经防虫，防腐处理，抗弯力强，不易变形。</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2.封边：采用合格品牌封边条，符合QB/T4463-2013《家具用封边条技术要求》标准。</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3.导轨：抽拉自如，抽屉内能放置30kg负载重量，开关顺滑，双叠全拉带定位结构，防止滑出，静音效果好，使用寿命长。</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4.工艺：采用先进加工工艺，保证产品的精度和外观标准，结构稳固。</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财务屏风位</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638175" cy="429260"/>
                      <wp:effectExtent l="0" t="0" r="1905" b="12700"/>
                      <wp:docPr id="7"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7" descr="IMG_262"/>
                              <pic:cNvPicPr>
                                <a:picLocks noChangeAspect="1"/>
                              </pic:cNvPicPr>
                              <pic:nvPr/>
                            </pic:nvPicPr>
                            <pic:blipFill>
                              <a:blip r:embed="rId20"/>
                              <a:stretch/>
                            </pic:blipFill>
                            <pic:spPr bwMode="auto">
                              <a:xfrm>
                                <a:off x="0" y="0"/>
                                <a:ext cx="638175" cy="429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0.2pt;height:33.8pt;mso-wrap-distance-left:0.0pt;mso-wrap-distance-top:0.0pt;mso-wrap-distance-right:0.0pt;mso-wrap-distance-bottom:0.0pt;" stroked="f">
                      <v:path textboxrect="0,0,0,0"/>
                      <v:imagedata r:id="rId20"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1698*2400*1100</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1.基材：采用品牌环保抗菌刨花板，经防虫，防腐处理，抗弯力强，不易变形。</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2.封边：采用合格品牌封边条，符合QB/T4463-2013《家具用封边条技术要求》标准。</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3.导轨：抽拉自如，抽屉内能放置30kg负载重量，开关顺滑，双叠全拉带定位结构，防止滑出，静音效果好，使用寿命长。</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4.工艺：采用先进加工工艺，保证产品的精度和外观标准，结构稳固。</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办公椅</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323850" cy="429260"/>
                      <wp:effectExtent l="0" t="0" r="11430" b="12700"/>
                      <wp:docPr id="8"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8" descr="IMG_263"/>
                              <pic:cNvPicPr>
                                <a:picLocks noChangeAspect="1"/>
                              </pic:cNvPicPr>
                              <pic:nvPr/>
                            </pic:nvPicPr>
                            <pic:blipFill>
                              <a:blip r:embed="rId21"/>
                              <a:stretch/>
                            </pic:blipFill>
                            <pic:spPr bwMode="auto">
                              <a:xfrm>
                                <a:off x="0" y="0"/>
                                <a:ext cx="323850" cy="429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5.5pt;height:33.8pt;mso-wrap-distance-left:0.0pt;mso-wrap-distance-top:0.0pt;mso-wrap-distance-right:0.0pt;mso-wrap-distance-bottom:0.0pt;" stroked="f">
                      <v:path textboxrect="0,0,0,0"/>
                      <v:imagedata r:id="rId21"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常规</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146</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1.面料：面料，高椅背采用高弹性3D透气网，可确保5年不变形，椅座采用面料，布料已通过色牢度、耐磨擦、甲醛等多项专业检测符合GB 18401-2010国家纺织产品基本安全或GB/T 18885-2009生态纺织品技术要求技术规范B类要求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2.海绵：造形采用人体工程学凹型设计，采用PU成型发泡高密度海绵,颜色均匀，无刺激性气味，分散臂部压力，密度为D53（0.053克/立方厘米），变形率小于1.3%，回弹率≥35%，75%压缩永久变形≤6%。</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3.椅背：宝扇造型椅背，分体双椅背设计，腰托带弹簧支撑，腰托内左右各含直径6mm弹簧,更适应人体工程学。</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4.椅座：15层木皮经纵横交错热压成15㎜曲木板，采用环保成型胶合板，符合GB18580-2017室内装饰装修材料人造板及其制品中甲醛释放限量标准，其中甲醛释放量≤0.124mg/m³，厚度≥14mm。坐垫带塑料底壳，防老化。</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5.椅脚：尼龙6+43%玻璃纤维，可承受1136KG下压力（静态）过BIFMA X5.1-2017。</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6.气压棒：采用气压棒，循环寿命≤13%。</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7.椅轮：采用强化尼龙椅轮，通过BIFMA承重检测及疲劳测试。</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8.扶手：T型固定扶手，时尚外观设计。</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9.功能底盘：同步倾仰3档自适应底盘。调节气杆上下升降，带负重调节功能。</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接待椅</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304800" cy="429260"/>
                      <wp:effectExtent l="0" t="0" r="0" b="12700"/>
                      <wp:docPr id="9"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9" descr="IMG_264"/>
                              <pic:cNvPicPr>
                                <a:picLocks noChangeAspect="1"/>
                              </pic:cNvPicPr>
                              <pic:nvPr/>
                            </pic:nvPicPr>
                            <pic:blipFill>
                              <a:blip r:embed="rId22"/>
                              <a:stretch/>
                            </pic:blipFill>
                            <pic:spPr bwMode="auto">
                              <a:xfrm>
                                <a:off x="0" y="0"/>
                                <a:ext cx="304800" cy="429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4.0pt;height:33.8pt;mso-wrap-distance-left:0.0pt;mso-wrap-distance-top:0.0pt;mso-wrap-distance-right:0.0pt;mso-wrap-distance-bottom:0.0pt;" stroked="f">
                      <v:path textboxrect="0,0,0,0"/>
                      <v:imagedata r:id="rId22"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常规</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1.椅背：PP+玻纤背框背框，椅背经102kg的推力测试，符合BIFMA测试标准，高弹性透气加密网                                                                                                                                       2.黑色PP固定腰靠</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3.扶手：PP+玻纤连体固定扶手                                                                                                                                                    </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4.椅座：高回弹中软切割海绵，高弹力透气座布，12mm厚木板</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5.椅架：25圆管2.0厚黑色喷涂架</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接待椅</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381000" cy="429260"/>
                      <wp:effectExtent l="0" t="0" r="0" b="12700"/>
                      <wp:docPr id="10"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10" descr="IMG_265"/>
                              <pic:cNvPicPr>
                                <a:picLocks noChangeAspect="1"/>
                              </pic:cNvPicPr>
                              <pic:nvPr/>
                            </pic:nvPicPr>
                            <pic:blipFill>
                              <a:blip r:embed="rId23"/>
                              <a:stretch/>
                            </pic:blipFill>
                            <pic:spPr bwMode="auto">
                              <a:xfrm>
                                <a:off x="0" y="0"/>
                                <a:ext cx="381000" cy="429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0.0pt;height:33.8pt;mso-wrap-distance-left:0.0pt;mso-wrap-distance-top:0.0pt;mso-wrap-distance-right:0.0pt;mso-wrap-distance-bottom:0.0pt;" stroked="f">
                      <v:path textboxrect="0,0,0,0"/>
                      <v:imagedata r:id="rId23"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常规</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1.采用西皮面料</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2.采用高密度海绵</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3.采用实木框架</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患者就诊椅</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381000" cy="429260"/>
                      <wp:effectExtent l="0" t="0" r="0" b="12700"/>
                      <wp:docPr id="11"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11" descr="IMG_266"/>
                              <pic:cNvPicPr>
                                <a:picLocks noChangeAspect="1"/>
                              </pic:cNvPicPr>
                              <pic:nvPr/>
                            </pic:nvPicPr>
                            <pic:blipFill>
                              <a:blip r:embed="rId23"/>
                              <a:stretch/>
                            </pic:blipFill>
                            <pic:spPr bwMode="auto">
                              <a:xfrm>
                                <a:off x="0" y="0"/>
                                <a:ext cx="381000" cy="429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30.0pt;height:33.8pt;mso-wrap-distance-left:0.0pt;mso-wrap-distance-top:0.0pt;mso-wrap-distance-right:0.0pt;mso-wrap-distance-bottom:0.0pt;" stroked="f">
                      <v:path textboxrect="0,0,0,0"/>
                      <v:imagedata r:id="rId23"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常规</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1.采用西皮面料</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2.采用高密度海绵</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3.采用实木框架</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靠背圆凳</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275590" cy="429260"/>
                      <wp:effectExtent l="0" t="0" r="13970" b="12700"/>
                      <wp:docPr id="12" name="图片 1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12" descr="IMG_267"/>
                              <pic:cNvPicPr>
                                <a:picLocks noChangeAspect="1"/>
                              </pic:cNvPicPr>
                              <pic:nvPr/>
                            </pic:nvPicPr>
                            <pic:blipFill>
                              <a:blip r:embed="rId24"/>
                              <a:stretch/>
                            </pic:blipFill>
                            <pic:spPr bwMode="auto">
                              <a:xfrm>
                                <a:off x="0" y="0"/>
                                <a:ext cx="275590" cy="429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21.7pt;height:33.8pt;mso-wrap-distance-left:0.0pt;mso-wrap-distance-top:0.0pt;mso-wrap-distance-right:0.0pt;mso-wrap-distance-bottom:0.0pt;" stroked="f">
                      <v:path textboxrect="0,0,0,0"/>
                      <v:imagedata r:id="rId24"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常规</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1.皮革符合GB/T</w:t>
            </w:r>
            <w:r>
              <w:rPr>
                <w:rFonts w:hint="default" w:ascii="微软雅黑" w:hAnsi="Times New Roman" w:eastAsia="微软雅黑" w:cs="Times New Roman"/>
                <w:i w:val="0"/>
                <w:iCs w:val="0"/>
                <w:color w:val="000000"/>
                <w:sz w:val="22"/>
                <w:szCs w:val="22"/>
                <w:u w:val="none"/>
                <w:lang w:val="en-US" w:eastAsia="zh-CN" w:bidi="ar"/>
              </w:rPr>
              <w:t xml:space="preserve"> </w:t>
            </w:r>
            <w:r>
              <w:rPr>
                <w:rFonts w:hint="eastAsia" w:ascii="微软雅黑" w:hAnsi="微软雅黑" w:eastAsia="微软雅黑" w:cs="微软雅黑"/>
                <w:i w:val="0"/>
                <w:iCs w:val="0"/>
                <w:color w:val="000000"/>
                <w:sz w:val="22"/>
                <w:szCs w:val="22"/>
                <w:u w:val="none"/>
                <w:lang w:val="en-US" w:eastAsia="zh-CN" w:bidi="ar"/>
              </w:rPr>
              <w:t xml:space="preserve">16799-2018《家具用皮革》标准。</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2.电镀气杆；</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3.电镀脚；</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4.黑色尼龙脚轮。脚轮：符合QB/T4765-2014《家具用脚轮》标准。</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定制家属沙发</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52500" cy="429260"/>
                      <wp:effectExtent l="0" t="0" r="7620" b="12700"/>
                      <wp:docPr id="13" name="图片 1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13" descr="IMG_268"/>
                              <pic:cNvPicPr>
                                <a:picLocks noChangeAspect="1"/>
                              </pic:cNvPicPr>
                              <pic:nvPr/>
                            </pic:nvPicPr>
                            <pic:blipFill>
                              <a:blip r:embed="rId25"/>
                              <a:stretch/>
                            </pic:blipFill>
                            <pic:spPr bwMode="auto">
                              <a:xfrm>
                                <a:off x="0" y="0"/>
                                <a:ext cx="952500" cy="429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75.0pt;height:33.8pt;mso-wrap-distance-left:0.0pt;mso-wrap-distance-top:0.0pt;mso-wrap-distance-right:0.0pt;mso-wrap-distance-bottom:0.0pt;" stroked="f">
                      <v:path textboxrect="0,0,0,0"/>
                      <v:imagedata r:id="rId25"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1000*500*450</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1.面料采用西皮，弹性好防磨耐脏；</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2.海绵采用高密度回弹海绵，可防氧化，防碎，软硬适中，回弹性好，不易变形；</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3.内框架为实木框架配多层夹板，选用实木原材经去皮、烘干、防虫防腐处理，坚固耐用；</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4.底座采用S形弹簧与高弹绷带形成稳固的网状结构，经久耐用；</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5.沙发无扶手，无靠背；底部配不锈钢脚架；</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6.所有材料安全无异味，使用寿命长。</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文件柜</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209550" cy="429260"/>
                      <wp:effectExtent l="0" t="0" r="3810" b="12700"/>
                      <wp:docPr id="14" name="图片 1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14" descr="IMG_269"/>
                              <pic:cNvPicPr>
                                <a:picLocks noChangeAspect="1"/>
                              </pic:cNvPicPr>
                              <pic:nvPr/>
                            </pic:nvPicPr>
                            <pic:blipFill>
                              <a:blip r:embed="rId26"/>
                              <a:stretch/>
                            </pic:blipFill>
                            <pic:spPr bwMode="auto">
                              <a:xfrm>
                                <a:off x="0" y="0"/>
                                <a:ext cx="209550" cy="429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6.5pt;height:33.8pt;mso-wrap-distance-left:0.0pt;mso-wrap-distance-top:0.0pt;mso-wrap-distance-right:0.0pt;mso-wrap-distance-bottom:0.0pt;" stroked="f">
                      <v:path textboxrect="0,0,0,0"/>
                      <v:imagedata r:id="rId26"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900*450*1800</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1.柜体：采用品牌抗菌环保电解钢板，厚度≥1.0mm，柜体重量≥96kg,表面接缝均满焊，焊接处均打磨平整以保持为连续的平滑表面具有耐酸碱腐蚀、光滑、不伤手等特点。</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2.喷涂：电解钢板表面采用室内环保型环氧树脂静电粉末喷涂，表面喷粉颜色靓丽，具有环保、抑菌、防锈、耐腐蚀、等技术特点，颜色满足院方要求。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3.铰链，</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4.锁具：采用国产品牌锁具，锁定到位，开启灵活，表面常规镀光亮铬处理。制作工艺精湛，外观漂亮。</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5.工艺：采用先进加工工艺，保证产品的精度和外观标准，结构稳固，柜体背后板采用插接工艺，柜后板交接处折弯厚度达到4.0mm,宽度达到18mm，保证整个柜体的背板支撑强度</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边柜</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390525" cy="429260"/>
                      <wp:effectExtent l="0" t="0" r="5715" b="12700"/>
                      <wp:docPr id="15" name="图片 1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5" descr="IMG_270"/>
                              <pic:cNvPicPr>
                                <a:picLocks noChangeAspect="1"/>
                              </pic:cNvPicPr>
                              <pic:nvPr/>
                            </pic:nvPicPr>
                            <pic:blipFill>
                              <a:blip r:embed="rId27"/>
                              <a:stretch/>
                            </pic:blipFill>
                            <pic:spPr bwMode="auto">
                              <a:xfrm>
                                <a:off x="0" y="0"/>
                                <a:ext cx="390525" cy="429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30.8pt;height:33.8pt;mso-wrap-distance-left:0.0pt;mso-wrap-distance-top:0.0pt;mso-wrap-distance-right:0.0pt;mso-wrap-distance-bottom:0.0pt;" stroked="f">
                      <v:path textboxrect="0,0,0,0"/>
                      <v:imagedata r:id="rId27"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800*400*850</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1.基材：采用品牌环保抗菌刨花板，经防虫，防腐处理，抗弯力强，不易变形。</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2.封边：采用合格品牌封边条，符合QB/T4463-2013《家具用封边条技术要求》标准。</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3.导轨：抽拉自如，抽屉内能放置30kg负载重量，开关顺滑，双叠全拉带定位结构，防止滑出，静音效果好，使用寿命长。</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4.工艺：采用先进加工工艺，保证产品的精度和外观标准，结构稳固。</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储物柜（木质）</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390525" cy="429260"/>
                      <wp:effectExtent l="0" t="0" r="5715" b="12700"/>
                      <wp:docPr id="16" name="图片 1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16" descr="IMG_271"/>
                              <pic:cNvPicPr>
                                <a:picLocks noChangeAspect="1"/>
                              </pic:cNvPicPr>
                              <pic:nvPr/>
                            </pic:nvPicPr>
                            <pic:blipFill>
                              <a:blip r:embed="rId27"/>
                              <a:stretch/>
                            </pic:blipFill>
                            <pic:spPr bwMode="auto">
                              <a:xfrm>
                                <a:off x="0" y="0"/>
                                <a:ext cx="390525" cy="429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30.8pt;height:33.8pt;mso-wrap-distance-left:0.0pt;mso-wrap-distance-top:0.0pt;mso-wrap-distance-right:0.0pt;mso-wrap-distance-bottom:0.0pt;" stroked="f">
                      <v:path textboxrect="0,0,0,0"/>
                      <v:imagedata r:id="rId27"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800*600*850</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1.基材：采用品牌环保抗菌刨花板，经防虫，防腐处理，抗弯力强，不易变形。</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2.封边：采用合格品牌封边条，符合QB/T4463-2013《家具用封边条技术要求》标准。</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3.导轨：抽拉自如，抽屉内能放置30kg负载重量，开关顺滑，双叠全拉带定位结构，防止滑出，静音效果好，使用寿命长。</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4.工艺：采用先进加工工艺，保证产品的精度和外观标准，结构稳固。</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茶水柜</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411480" cy="429260"/>
                      <wp:effectExtent l="0" t="0" r="0" b="12700"/>
                      <wp:docPr id="17" name="图片 17"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17" descr="IMG_272"/>
                              <pic:cNvPicPr>
                                <a:picLocks noChangeAspect="1"/>
                              </pic:cNvPicPr>
                              <pic:nvPr/>
                            </pic:nvPicPr>
                            <pic:blipFill>
                              <a:blip r:embed="rId28"/>
                              <a:stretch/>
                            </pic:blipFill>
                            <pic:spPr bwMode="auto">
                              <a:xfrm>
                                <a:off x="0" y="0"/>
                                <a:ext cx="411480" cy="429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32.4pt;height:33.8pt;mso-wrap-distance-left:0.0pt;mso-wrap-distance-top:0.0pt;mso-wrap-distance-right:0.0pt;mso-wrap-distance-bottom:0.0pt;" stroked="f">
                      <v:path textboxrect="0,0,0,0"/>
                      <v:imagedata r:id="rId28"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800*400*850</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1.基材：采用品牌环保抗菌刨花板，经防虫，防腐处理，抗弯力强，不易变形。</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2.封边：采用合格品牌封边条，符合QB/T4463-2013《家具用封边条技术要求》标准。</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3.工艺：采用先进加工工艺，保证产品的精度和外观标准，结构稳固。</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儿保手册柜</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90500" cy="429260"/>
                      <wp:effectExtent l="0" t="0" r="7620" b="12700"/>
                      <wp:docPr id="18" name="图片 18"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18" descr="IMG_273"/>
                              <pic:cNvPicPr>
                                <a:picLocks noChangeAspect="1"/>
                              </pic:cNvPicPr>
                              <pic:nvPr/>
                            </pic:nvPicPr>
                            <pic:blipFill>
                              <a:blip r:embed="rId29"/>
                              <a:stretch/>
                            </pic:blipFill>
                            <pic:spPr bwMode="auto">
                              <a:xfrm>
                                <a:off x="0" y="0"/>
                                <a:ext cx="190500" cy="429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5.0pt;height:33.8pt;mso-wrap-distance-left:0.0pt;mso-wrap-distance-top:0.0pt;mso-wrap-distance-right:0.0pt;mso-wrap-distance-bottom:0.0pt;" stroked="f">
                      <v:path textboxrect="0,0,0,0"/>
                      <v:imagedata r:id="rId29"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1200*400*1800</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1.基材：采用品牌环保抗菌刨花板，经防虫，防腐处理，抗弯力强，不易变形。</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2.封边：采用合格品牌封边条，符合QB/T4463-2013《家具用封边条技术要求》标准。</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3.导轨：抽拉自如，抽屉内能放置30kg负载重量，开关顺滑，双叠全拉带定位结构，防止滑出，静音效果好，使用寿命长。</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4.工艺：采用先进加工工艺，保证产品的精度和外观标准，结构稳固。</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半高宣传册柜</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304800" cy="429260"/>
                      <wp:effectExtent l="0" t="0" r="0" b="12700"/>
                      <wp:docPr id="19" name="图片 19"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19" descr="IMG_274"/>
                              <pic:cNvPicPr>
                                <a:picLocks noChangeAspect="1"/>
                              </pic:cNvPicPr>
                              <pic:nvPr/>
                            </pic:nvPicPr>
                            <pic:blipFill>
                              <a:blip r:embed="rId30"/>
                              <a:stretch/>
                            </pic:blipFill>
                            <pic:spPr bwMode="auto">
                              <a:xfrm>
                                <a:off x="0" y="0"/>
                                <a:ext cx="304800" cy="429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24.0pt;height:33.8pt;mso-wrap-distance-left:0.0pt;mso-wrap-distance-top:0.0pt;mso-wrap-distance-right:0.0pt;mso-wrap-distance-bottom:0.0pt;" stroked="f">
                      <v:path textboxrect="0,0,0,0"/>
                      <v:imagedata r:id="rId30"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900*400*1200</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1.基材：采用品牌环保抗菌刨花板，经防虫，防腐处理，抗弯力强，不易变形。</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2.封边：采用合格品牌封边条，符合QB/T4463-2013《家具用封边条技术要求》标准。</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3.导轨：抽拉自如，抽屉内能放置30kg负载重量，开关顺滑，双叠全拉带定位结构，防止滑出，静音效果好，使用寿命长。</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4.工艺：采用先进加工工艺，保证产品的精度和外观标准，结构稳固。</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凭证柜</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429260" cy="429260"/>
                      <wp:effectExtent l="0" t="0" r="12700" b="12700"/>
                      <wp:docPr id="20" name="图片 20"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20" descr="IMG_275"/>
                              <pic:cNvPicPr>
                                <a:picLocks noChangeAspect="1"/>
                              </pic:cNvPicPr>
                              <pic:nvPr/>
                            </pic:nvPicPr>
                            <pic:blipFill>
                              <a:blip r:embed="rId31"/>
                              <a:stretch/>
                            </pic:blipFill>
                            <pic:spPr bwMode="auto">
                              <a:xfrm>
                                <a:off x="0" y="0"/>
                                <a:ext cx="429260" cy="429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33.8pt;height:33.8pt;mso-wrap-distance-left:0.0pt;mso-wrap-distance-top:0.0pt;mso-wrap-distance-right:0.0pt;mso-wrap-distance-bottom:0.0pt;" stroked="f">
                      <v:path textboxrect="0,0,0,0"/>
                      <v:imagedata r:id="rId31"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900*390*1850</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1.柜体：采用品牌抗菌环保电解钢板，厚度≥1.0mm，表面接缝均满焊，焊接处均打磨平整以保持为连续的平滑表面具有耐酸碱腐蚀、光滑、不伤手等特点。</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2.喷涂：电解钢板表面采用室内环保型环氧树脂静电粉末喷涂，表面喷粉颜色靓丽，具有环保、抑菌、防锈、耐腐蚀、等技术特点，颜色满足院方要求。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3.铰链，</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4.锁具：采用国产品牌锁具，锁定到位，开启灵活，表面常规镀光亮铬处理。制作工艺精湛，外观漂亮。</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5.工艺：采用先进加工工艺，保证产品的精度和外观标准，结构稳固，柜体背后板采用插接工艺，柜后板交接处折弯厚度达到4.0mm,宽度达到18mm，保证整个柜体的背板支撑强度</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档案柜</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295275" cy="476250"/>
                      <wp:effectExtent l="0" t="0" r="9525" b="11430"/>
                      <wp:docPr id="21" name="图片 21"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21" descr="IMG_276"/>
                              <pic:cNvPicPr>
                                <a:picLocks noChangeAspect="1"/>
                              </pic:cNvPicPr>
                              <pic:nvPr/>
                            </pic:nvPicPr>
                            <pic:blipFill>
                              <a:blip r:embed="rId32"/>
                              <a:stretch/>
                            </pic:blipFill>
                            <pic:spPr bwMode="auto">
                              <a:xfrm>
                                <a:off x="0" y="0"/>
                                <a:ext cx="295274" cy="476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23.2pt;height:37.5pt;mso-wrap-distance-left:0.0pt;mso-wrap-distance-top:0.0pt;mso-wrap-distance-right:0.0pt;mso-wrap-distance-bottom:0.0pt;" stroked="f">
                      <v:path textboxrect="0,0,0,0"/>
                      <v:imagedata r:id="rId32"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900*390*1850</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1.柜体：采用品牌抗菌环保电解钢板，厚度≥1.0mm，表面接缝均满焊，焊接处均打磨平整以保持为连续的平滑表面具有耐酸碱腐蚀、光滑、不伤手等特点。</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2.喷涂：电解钢板表面采用室内环保型环氧树脂静电粉末喷涂，表面喷粉颜色靓丽，具有环保、抑菌、防锈、耐腐蚀、等技术特点，颜色满足院方要求。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3.铰链，</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4.锁具：采用国产品牌锁具，锁定到位，开启灵活，表面常规镀光亮铬处理。制作工艺精湛，外观漂亮。</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5.工艺：采用先进加工工艺，保证产品的精度和外观标准，结构稳固，柜体背后板采用插接工艺，柜后板交接处折弯厚度达到4.0mm,宽度达到18mm，保证整个柜体的背板支撑强度</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病案柜</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409575" cy="476250"/>
                      <wp:effectExtent l="0" t="0" r="1905" b="11430"/>
                      <wp:docPr id="22" name="图片 22"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22" descr="IMG_277"/>
                              <pic:cNvPicPr>
                                <a:picLocks noChangeAspect="1"/>
                              </pic:cNvPicPr>
                              <pic:nvPr/>
                            </pic:nvPicPr>
                            <pic:blipFill>
                              <a:blip r:embed="rId33"/>
                              <a:stretch/>
                            </pic:blipFill>
                            <pic:spPr bwMode="auto">
                              <a:xfrm>
                                <a:off x="0" y="0"/>
                                <a:ext cx="409575" cy="476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32.2pt;height:37.5pt;mso-wrap-distance-left:0.0pt;mso-wrap-distance-top:0.0pt;mso-wrap-distance-right:0.0pt;mso-wrap-distance-bottom:0.0pt;" stroked="f">
                      <v:path textboxrect="0,0,0,0"/>
                      <v:imagedata r:id="rId33"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900*390*1850</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1.柜体：采用品牌抗菌环保电解钢板，厚度≥1.0mm，表面接缝均满焊，焊接处均打磨平整以保持为连续的平滑表面具有耐酸碱腐蚀、光滑、不伤手等特点。</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2.喷涂：电解钢板表面采用室内环保型环氧树脂静电粉末喷涂，表面喷粉颜色靓丽，具有环保、抑菌、防锈、耐腐蚀、等技术特点，颜色满足院方要求。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3.铰链，</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4.锁具：采用国产品牌锁具，锁定到位，开启灵活，表面常规镀光亮铬处理。制作工艺精湛，外观漂亮。</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5.工艺：采用先进加工工艺，保证产品的精度和外观标准，结构稳固，柜体背后板采用插接工艺，柜后板交接处折弯厚度达到4.0mm,宽度达到18mm，保证整个柜体的背板支撑强度</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器械柜</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294640" cy="429260"/>
                      <wp:effectExtent l="0" t="0" r="10795" b="12700"/>
                      <wp:docPr id="23" name="图片 23"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23" descr="IMG_278"/>
                              <pic:cNvPicPr>
                                <a:picLocks noChangeAspect="1"/>
                              </pic:cNvPicPr>
                              <pic:nvPr/>
                            </pic:nvPicPr>
                            <pic:blipFill>
                              <a:blip r:embed="rId34"/>
                              <a:stretch/>
                            </pic:blipFill>
                            <pic:spPr bwMode="auto">
                              <a:xfrm>
                                <a:off x="0" y="0"/>
                                <a:ext cx="294640" cy="429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23.2pt;height:33.8pt;mso-wrap-distance-left:0.0pt;mso-wrap-distance-top:0.0pt;mso-wrap-distance-right:0.0pt;mso-wrap-distance-bottom:0.0pt;" stroked="f">
                      <v:path textboxrect="0,0,0,0"/>
                      <v:imagedata r:id="rId34"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900*450*1800</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1.柜体：采用品牌抗菌环保电解钢板，厚度≥1.0mm，表面接缝均满焊，焊接处均打磨平整以保持为连续的平滑表面具有耐酸碱腐蚀、光滑、不伤手等特点。</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2.喷涂：电解钢板表面采用室内环保型环氧树脂静电粉末喷涂，表面喷粉颜色靓丽，具有环保、抑菌、防锈、耐腐蚀、等技术特点，颜色满足院方要求。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3.铰链，</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4.锁具：采用国产品牌锁具，锁定到位，开启灵活，表面常规镀光亮铬处理。制作工艺精湛，外观漂亮。</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5.工艺：采用先进加工工艺，保证产品的精度和外观标准，结构稳固，柜体背后板采用插接工艺，柜后板交接处折弯厚度达到4.0mm,宽度达到18mm，保证整个柜体的背板支撑强度</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称重台（含石材、无软包）</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513715" cy="429260"/>
                      <wp:effectExtent l="0" t="0" r="4445" b="12700"/>
                      <wp:docPr id="24" name="图片 24"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24" descr="IMG_279"/>
                              <pic:cNvPicPr>
                                <a:picLocks noChangeAspect="1"/>
                              </pic:cNvPicPr>
                              <pic:nvPr/>
                            </pic:nvPicPr>
                            <pic:blipFill>
                              <a:blip r:embed="rId35"/>
                              <a:stretch/>
                            </pic:blipFill>
                            <pic:spPr bwMode="auto">
                              <a:xfrm>
                                <a:off x="0" y="0"/>
                                <a:ext cx="513715" cy="429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0.4pt;height:33.8pt;mso-wrap-distance-left:0.0pt;mso-wrap-distance-top:0.0pt;mso-wrap-distance-right:0.0pt;mso-wrap-distance-bottom:0.0pt;" stroked="f">
                      <v:path textboxrect="0,0,0,0"/>
                      <v:imagedata r:id="rId35"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1000*600*850</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延米</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1.柜体：采用品牌环保抗菌双面电解钢板，厚度≥1.0mm，表面接缝焊接处应无脱焊、虚焊、焊穿、错位、无夹渣、气孔、焊瘤、焊丝头、咬边、飞溅，表面波纹应均匀，具有耐腐蚀、光滑、不伤手等特点；</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2.喷涂：电解钢板表面采用室内环保型环氧树脂静电粉末喷涂，表面喷粉颜色靓丽，具有环保、抑菌、防锈、耐腐蚀、等技术特点，颜色满足院方要求。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3.台面：采用品牌医用复合亚克力人造石制作，色泽一致，无明显色差。台面光滑平整、无波纹、方料痕、刮痕、裂纹。表面耐磨、耐热性、耐污染性、耐化学药品性，符合医院高标准的环境卫生要求。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4.锁具：采用国产品牌锁具，锁定到位，开启灵活，表面常规镀光亮铬处理。制作工艺精湛，外观漂亮。</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5.导轨：抽拉自如，抽屉内能放置30kg负载重量，开关顺滑，双叠全拉带定位结构，防止滑出，静音效果好，使用寿命长。</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6.铰链，</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7.不锈钢踢脚线：采用SUS304不锈钢踢脚线，厚度≥1.0mm，易消毒不生锈，操作时无抵脚感，符合人体工程学原理。</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8.工艺：采用先进加工工艺，保证产品的精度和外观标准，结构稳固，柜体背后板采用插接工艺，柜后板交接处折弯厚度达到4.0mm,宽度达到18mm，保证整个柜体的背板支撑强度</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体检台（含软包、石材，带无门层板）</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390525" cy="429260"/>
                      <wp:effectExtent l="0" t="0" r="5715" b="12700"/>
                      <wp:docPr id="25" name="图片 25"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25" descr="IMG_280"/>
                              <pic:cNvPicPr>
                                <a:picLocks noChangeAspect="1"/>
                              </pic:cNvPicPr>
                              <pic:nvPr/>
                            </pic:nvPicPr>
                            <pic:blipFill>
                              <a:blip r:embed="rId36"/>
                              <a:stretch/>
                            </pic:blipFill>
                            <pic:spPr bwMode="auto">
                              <a:xfrm>
                                <a:off x="0" y="0"/>
                                <a:ext cx="390525" cy="429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30.8pt;height:33.8pt;mso-wrap-distance-left:0.0pt;mso-wrap-distance-top:0.0pt;mso-wrap-distance-right:0.0pt;mso-wrap-distance-bottom:0.0pt;" stroked="f">
                      <v:path textboxrect="0,0,0,0"/>
                      <v:imagedata r:id="rId36"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3000*700*850</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延米</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1.柜体：采用品牌环保抗菌双面电解钢板，厚度≥1.0mm，表面接缝焊接处应无脱焊、虚焊、焊穿、错位、无夹渣、气孔、焊瘤、焊丝头、咬边、飞溅，表面波纹应均匀，具有耐腐蚀、光滑、不伤手等特点；</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2.喷涂：电解钢板表面采用室内环保型环氧树脂静电粉末喷涂，表面喷粉颜色靓丽，具有环保、抑菌、防锈、耐腐蚀、等技术特点，颜色满足院方要求。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3.台面：采用品牌医用复合亚克力人造石制作，色泽一致，无明显色差。台面光滑平整、无波纹、方料痕、刮痕、裂纹。表面耐磨、耐热性、耐污染性、耐化学药品性，符合医院高标准的环境卫生要求。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4.锁具：采用国产品牌锁具，锁定到位，开启灵活，表面常规镀光亮铬处理。制作工艺精湛，外观漂亮。</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5.导轨：抽拉自如，抽屉内能放置30kg负载重量，开关顺滑，双叠全拉带定位结构，防止滑出，静音效果好，使用寿命长。</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6.铰链，</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7.不锈钢踢脚线：采用SUS304不锈钢踢脚线，厚度≥1.0mm，易消毒不生锈，操作时无抵脚感，符合人体工程学原理。</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8.工艺：采用先进加工工艺，保证产品的精度和外观标准，结构稳固，柜体背后板采用插接工艺，柜后板交接处折弯厚度达到4.0mm,宽度达到18mm，保证整个柜体的背板支撑强度</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9.采用软包</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定制展示储物柜(木质)</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513715" cy="429260"/>
                      <wp:effectExtent l="0" t="0" r="4445" b="12700"/>
                      <wp:docPr id="26" name="图片 26"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6" descr="IMG_281"/>
                              <pic:cNvPicPr>
                                <a:picLocks noChangeAspect="1"/>
                              </pic:cNvPicPr>
                              <pic:nvPr/>
                            </pic:nvPicPr>
                            <pic:blipFill>
                              <a:blip r:embed="rId37"/>
                              <a:stretch/>
                            </pic:blipFill>
                            <pic:spPr bwMode="auto">
                              <a:xfrm>
                                <a:off x="0" y="0"/>
                                <a:ext cx="513715" cy="429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0.4pt;height:33.8pt;mso-wrap-distance-left:0.0pt;mso-wrap-distance-top:0.0pt;mso-wrap-distance-right:0.0pt;mso-wrap-distance-bottom:0.0pt;" stroked="f">
                      <v:path textboxrect="0,0,0,0"/>
                      <v:imagedata r:id="rId37"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L*500*2000</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延米</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1.基材：采用品牌环保抗菌刨花板，经防虫，防腐处理，抗弯力强，不易变形。</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2.封边：采用合格品牌封边条，符合QB/T4463-2013《家具用封边条技术要求》标准。</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3.工艺：采用先进加工工艺，保证产品的精度和外观标准，结构稳固。</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办公桌</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733425" cy="361950"/>
                      <wp:effectExtent l="0" t="0" r="13335" b="3810"/>
                      <wp:docPr id="27" name="图片 27"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27" descr="IMG_282"/>
                              <pic:cNvPicPr>
                                <a:picLocks noChangeAspect="1"/>
                              </pic:cNvPicPr>
                              <pic:nvPr/>
                            </pic:nvPicPr>
                            <pic:blipFill>
                              <a:blip r:embed="rId38"/>
                              <a:stretch/>
                            </pic:blipFill>
                            <pic:spPr bwMode="auto">
                              <a:xfrm>
                                <a:off x="0" y="0"/>
                                <a:ext cx="733424" cy="361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57.8pt;height:28.5pt;mso-wrap-distance-left:0.0pt;mso-wrap-distance-top:0.0pt;mso-wrap-distance-right:0.0pt;mso-wrap-distance-bottom:0.0pt;" stroked="f">
                      <v:path textboxrect="0,0,0,0"/>
                      <v:imagedata r:id="rId38"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1600*1550*760</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基材：采用E0级环保抗菌中密度纤维板厚度≥18mm，结构稳固，表面采用钢琴烤漆工艺，漆面达到镜面效果，致密性高，稳定性强，色彩饱满丰富、历久常新，表面质感细腻、光洁、平整，无滴挂、气泡、针孔、起鼓等现象，具有防火、防污、耐磨等特点。            </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2.木皮：采用AAA级胡桃木皮，厚度为0.6mm，木皮纹路清晰无瑕疵。       </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3.油漆：采用品牌环保油漆，色彩多样，具有环保、防腐、防水、耐化学品、耐光、耐温等特点。</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办公椅</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323850" cy="429260"/>
                      <wp:effectExtent l="0" t="0" r="11430" b="12700"/>
                      <wp:docPr id="28" name="图片 28"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28" descr="IMG_283"/>
                              <pic:cNvPicPr>
                                <a:picLocks noChangeAspect="1"/>
                              </pic:cNvPicPr>
                              <pic:nvPr/>
                            </pic:nvPicPr>
                            <pic:blipFill>
                              <a:blip r:embed="rId39"/>
                              <a:stretch/>
                            </pic:blipFill>
                            <pic:spPr bwMode="auto">
                              <a:xfrm>
                                <a:off x="0" y="0"/>
                                <a:ext cx="323850" cy="429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25.5pt;height:33.8pt;mso-wrap-distance-left:0.0pt;mso-wrap-distance-top:0.0pt;mso-wrap-distance-right:0.0pt;mso-wrap-distance-bottom:0.0pt;" stroked="f">
                      <v:path textboxrect="0,0,0,0"/>
                      <v:imagedata r:id="rId39"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常规</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1.面料：用牛皮，手感好、柔软、皮厚,           </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2.坐垫海绵：采用高弹力聚氨酯海绵，软硬适中,回弹性好，不易变形，时尚、大气。                                              </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3.弹簧：国产S形高强力钢制弹簧。  </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4.脚：采用拉丝不锈钢。</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三人沙发</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809625" cy="411480"/>
                      <wp:effectExtent l="0" t="0" r="13335" b="0"/>
                      <wp:docPr id="29" name="图片 29"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29" descr="IMG_284"/>
                              <pic:cNvPicPr>
                                <a:picLocks noChangeAspect="1"/>
                              </pic:cNvPicPr>
                              <pic:nvPr/>
                            </pic:nvPicPr>
                            <pic:blipFill>
                              <a:blip r:embed="rId40"/>
                              <a:stretch/>
                            </pic:blipFill>
                            <pic:spPr bwMode="auto">
                              <a:xfrm>
                                <a:off x="0" y="0"/>
                                <a:ext cx="809625" cy="4114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63.8pt;height:32.4pt;mso-wrap-distance-left:0.0pt;mso-wrap-distance-top:0.0pt;mso-wrap-distance-right:0.0pt;mso-wrap-distance-bottom:0.0pt;" stroked="f">
                      <v:path textboxrect="0,0,0,0"/>
                      <v:imagedata r:id="rId40"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常规</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1.面料：用牛皮，手感好、柔软、皮厚,           </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2.坐垫海绵：采用高弹力聚氨酯海绵，软硬适中,回弹性好，不易变形，时尚、大气。                                              </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3.弹簧：国产S形高强力钢制弹簧。  </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4.脚：采用拉丝不锈钢。</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单人沙发</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486410" cy="411480"/>
                      <wp:effectExtent l="0" t="0" r="1270" b="0"/>
                      <wp:docPr id="30" name="图片 30"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30" descr="IMG_285"/>
                              <pic:cNvPicPr>
                                <a:picLocks noChangeAspect="1"/>
                              </pic:cNvPicPr>
                              <pic:nvPr/>
                            </pic:nvPicPr>
                            <pic:blipFill>
                              <a:blip r:embed="rId41"/>
                              <a:stretch/>
                            </pic:blipFill>
                            <pic:spPr bwMode="auto">
                              <a:xfrm>
                                <a:off x="0" y="0"/>
                                <a:ext cx="486409" cy="4114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38.3pt;height:32.4pt;mso-wrap-distance-left:0.0pt;mso-wrap-distance-top:0.0pt;mso-wrap-distance-right:0.0pt;mso-wrap-distance-bottom:0.0pt;" stroked="f">
                      <v:path textboxrect="0,0,0,0"/>
                      <v:imagedata r:id="rId41"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常规</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1.面料：用牛皮，手感好、柔软、皮厚,           </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2.坐垫海绵：采用高弹力聚氨酯海绵，软硬适中,回弹性好，不易变形，时尚、大气。                                              </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3.弹簧：国产S形高强力钢制弹簧。  </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4.脚：采用拉丝不锈钢。</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三门书柜</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257175" cy="352425"/>
                      <wp:effectExtent l="0" t="0" r="1905" b="13335"/>
                      <wp:docPr id="31" name="图片 31"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31" descr="IMG_286"/>
                              <pic:cNvPicPr>
                                <a:picLocks noChangeAspect="1"/>
                              </pic:cNvPicPr>
                              <pic:nvPr/>
                            </pic:nvPicPr>
                            <pic:blipFill>
                              <a:blip r:embed="rId42"/>
                              <a:stretch/>
                            </pic:blipFill>
                            <pic:spPr bwMode="auto">
                              <a:xfrm>
                                <a:off x="0" y="0"/>
                                <a:ext cx="257175" cy="352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20.2pt;height:27.8pt;mso-wrap-distance-left:0.0pt;mso-wrap-distance-top:0.0pt;mso-wrap-distance-right:0.0pt;mso-wrap-distance-bottom:0.0pt;" stroked="f">
                      <v:path textboxrect="0,0,0,0"/>
                      <v:imagedata r:id="rId42"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1350*400*2000</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1.基材：采用品牌环保抗菌刨花板，经防虫，防腐处理，抗弯力强，不易变形。</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2.封边：采用合格品牌封边条，符合QB/T4463-2013《家具用封边条技术要求》标准。</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3.工艺：采用先进加工工艺，保证产品的精度和外观标准，结构稳固。</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茶水柜</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570865" cy="352425"/>
                      <wp:effectExtent l="0" t="0" r="8255" b="13335"/>
                      <wp:docPr id="32" name="图片 32"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32" descr="IMG_287"/>
                              <pic:cNvPicPr>
                                <a:picLocks noChangeAspect="1"/>
                              </pic:cNvPicPr>
                              <pic:nvPr/>
                            </pic:nvPicPr>
                            <pic:blipFill>
                              <a:blip r:embed="rId43"/>
                              <a:stretch/>
                            </pic:blipFill>
                            <pic:spPr bwMode="auto">
                              <a:xfrm>
                                <a:off x="0" y="0"/>
                                <a:ext cx="570865" cy="352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44.9pt;height:27.8pt;mso-wrap-distance-left:0.0pt;mso-wrap-distance-top:0.0pt;mso-wrap-distance-right:0.0pt;mso-wrap-distance-bottom:0.0pt;" stroked="f">
                      <v:path textboxrect="0,0,0,0"/>
                      <v:imagedata r:id="rId43"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1200*400*850</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基材：采用E0级环保抗菌中密度纤维板厚度≥18mm，结构稳固，表面采用钢琴烤漆工艺，漆面达到镜面效果，致密性高，稳定性强，色彩饱满丰富、历久常新，表面质感细腻、光洁、平整，无滴挂、气泡、针孔、起鼓等现象，具有防火、防污、耐磨等特点。            </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2.木皮：采用AAA级胡桃木皮，厚度为0.6mm，木皮纹路清晰无瑕疵。       </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3.油漆：采用品牌环保油漆，色彩多样，具有环保、防腐、防水、耐化学品、耐光、耐温等特点。</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茶几</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704850" cy="429260"/>
                      <wp:effectExtent l="0" t="0" r="11430" b="12700"/>
                      <wp:docPr id="33" name="图片 33"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33" descr="IMG_288"/>
                              <pic:cNvPicPr>
                                <a:picLocks noChangeAspect="1"/>
                              </pic:cNvPicPr>
                              <pic:nvPr/>
                            </pic:nvPicPr>
                            <pic:blipFill>
                              <a:blip r:embed="rId44"/>
                              <a:stretch/>
                            </pic:blipFill>
                            <pic:spPr bwMode="auto">
                              <a:xfrm>
                                <a:off x="0" y="0"/>
                                <a:ext cx="704850" cy="429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55.5pt;height:33.8pt;mso-wrap-distance-left:0.0pt;mso-wrap-distance-top:0.0pt;mso-wrap-distance-right:0.0pt;mso-wrap-distance-bottom:0.0pt;" stroked="f">
                      <v:path textboxrect="0,0,0,0"/>
                      <v:imagedata r:id="rId44"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1200*600*400</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1.基材：采用品牌环保抗菌刨花板，经防虫，防腐处理，抗弯力强，不易变形。</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2.封边：采用合格品牌封边条，符合QB/T4463-2013《家具用封边条技术要求》标准。</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3.导轨：抽拉自如，抽屉内能放置30kg负载重量，开关顺滑，双叠全拉带定位结构，防止滑出，静音效果好，使用寿命长。</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4.工艺：采用先进加工工艺，保证产品的精度和外观标准，结构稳固。</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边几</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438785" cy="429260"/>
                      <wp:effectExtent l="0" t="0" r="3175" b="12700"/>
                      <wp:docPr id="34" name="图片 34"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34" descr="IMG_289"/>
                              <pic:cNvPicPr>
                                <a:picLocks noChangeAspect="1"/>
                              </pic:cNvPicPr>
                              <pic:nvPr/>
                            </pic:nvPicPr>
                            <pic:blipFill>
                              <a:blip r:embed="rId45"/>
                              <a:stretch/>
                            </pic:blipFill>
                            <pic:spPr bwMode="auto">
                              <a:xfrm>
                                <a:off x="0" y="0"/>
                                <a:ext cx="438785" cy="429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34.5pt;height:33.8pt;mso-wrap-distance-left:0.0pt;mso-wrap-distance-top:0.0pt;mso-wrap-distance-right:0.0pt;mso-wrap-distance-bottom:0.0pt;" stroked="f">
                      <v:path textboxrect="0,0,0,0"/>
                      <v:imagedata r:id="rId45"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600*600*400</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1.基材：采用品牌环保抗菌刨花板，经防虫，防腐处理，抗弯力强，不易变形。</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2.封边：采用合格品牌封边条，符合QB/T4463-2013《家具用封边条技术要求》标准。</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3.导轨：抽拉自如，抽屉内能放置30kg负载重量，开关顺滑，双叠全拉带定位结构，防止滑出，静音效果好，使用寿命长。</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4.工艺：采用先进加工工艺，保证产品的精度和外观标准，结构稳固。</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主席台</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790575" cy="476250"/>
                      <wp:effectExtent l="0" t="0" r="1905" b="11430"/>
                      <wp:docPr id="35" name="图片 35"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5" descr="IMG_290"/>
                              <pic:cNvPicPr>
                                <a:picLocks noChangeAspect="1"/>
                              </pic:cNvPicPr>
                              <pic:nvPr/>
                            </pic:nvPicPr>
                            <pic:blipFill>
                              <a:blip r:embed="rId46"/>
                              <a:stretch/>
                            </pic:blipFill>
                            <pic:spPr bwMode="auto">
                              <a:xfrm>
                                <a:off x="0" y="0"/>
                                <a:ext cx="790575" cy="476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62.2pt;height:37.5pt;mso-wrap-distance-left:0.0pt;mso-wrap-distance-top:0.0pt;mso-wrap-distance-right:0.0pt;mso-wrap-distance-bottom:0.0pt;" stroked="f">
                      <v:path textboxrect="0,0,0,0"/>
                      <v:imagedata r:id="rId46"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1400*600*750</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基材：采用E1级环保抗菌中密度纤维板，结构稳固，表面采用钢琴烤漆工艺，漆面达到镜面效果，致密性高，稳定性强，色彩饱满丰富、历久常新，表面质感细腻、光洁、平整，无滴挂、气泡、针孔、起鼓等现象，具有防火、防污、耐磨等特点。            </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2.木皮：采用AAA级胡桃木皮，厚度为0.6mm，木皮纹路清晰无瑕疵。       </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3.油漆：采用品牌环保油漆，色彩多样，具有环保、防腐、防水、耐化学品、耐光、耐温等特点。</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主席台</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790575" cy="476250"/>
                      <wp:effectExtent l="0" t="0" r="1905" b="11430"/>
                      <wp:docPr id="36" name="图片 36"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36" descr="IMG_291"/>
                              <pic:cNvPicPr>
                                <a:picLocks noChangeAspect="1"/>
                              </pic:cNvPicPr>
                              <pic:nvPr/>
                            </pic:nvPicPr>
                            <pic:blipFill>
                              <a:blip r:embed="rId46"/>
                              <a:stretch/>
                            </pic:blipFill>
                            <pic:spPr bwMode="auto">
                              <a:xfrm>
                                <a:off x="0" y="0"/>
                                <a:ext cx="790575" cy="476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62.2pt;height:37.5pt;mso-wrap-distance-left:0.0pt;mso-wrap-distance-top:0.0pt;mso-wrap-distance-right:0.0pt;mso-wrap-distance-bottom:0.0pt;" stroked="f">
                      <v:path textboxrect="0,0,0,0"/>
                      <v:imagedata r:id="rId46"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1000*600*750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基材：采用E1级环保抗菌中密度纤维板，结构稳固，表面采用钢琴烤漆工艺，漆面达到镜面效果，致密性高，稳定性强，色彩饱满丰富、历久常新，表面质感细腻、光洁、平整，无滴挂、气泡、针孔、起鼓等现象，具有防火、防污、耐磨等特点。            </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2.木皮：采用AAA级胡桃木皮，厚度为0.6mm，木皮纹路清晰无瑕疵。       </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3.油漆：采用品牌环保油漆，色彩多样，具有环保、防腐、防水、耐化学品、耐光、耐温等特点。</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主席椅（带扶手）</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266065" cy="371475"/>
                      <wp:effectExtent l="0" t="0" r="8255" b="9525"/>
                      <wp:docPr id="37" name="图片 37"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7" descr="IMG_292"/>
                              <pic:cNvPicPr>
                                <a:picLocks noChangeAspect="1"/>
                              </pic:cNvPicPr>
                              <pic:nvPr/>
                            </pic:nvPicPr>
                            <pic:blipFill>
                              <a:blip r:embed="rId47"/>
                              <a:stretch/>
                            </pic:blipFill>
                            <pic:spPr bwMode="auto">
                              <a:xfrm>
                                <a:off x="0" y="0"/>
                                <a:ext cx="266065" cy="371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20.9pt;height:29.2pt;mso-wrap-distance-left:0.0pt;mso-wrap-distance-top:0.0pt;mso-wrap-distance-right:0.0pt;mso-wrap-distance-bottom:0.0pt;" stroked="f">
                      <v:path textboxrect="0,0,0,0"/>
                      <v:imagedata r:id="rId47"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常规</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1.面料：采用西皮面料，皮面柔软舒适，纹理细腻耐用</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2.内架：实木框架及夹板</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3.海棉：环保型高密度、高回弹PU泡绵，圆润厚实，弹性好 </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4.扶手脚架：实木</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5.油漆：油漆采用环保型PE底漆，PU面漆，颜色均匀硬度高</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折叠培训椅</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342900" cy="438785"/>
                      <wp:effectExtent l="0" t="0" r="7620" b="3175"/>
                      <wp:docPr id="38" name="图片 38"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38" descr="IMG_293"/>
                              <pic:cNvPicPr>
                                <a:picLocks noChangeAspect="1"/>
                              </pic:cNvPicPr>
                              <pic:nvPr/>
                            </pic:nvPicPr>
                            <pic:blipFill>
                              <a:blip r:embed="rId48"/>
                              <a:stretch/>
                            </pic:blipFill>
                            <pic:spPr bwMode="auto">
                              <a:xfrm>
                                <a:off x="0" y="0"/>
                                <a:ext cx="342900" cy="438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27.0pt;height:34.5pt;mso-wrap-distance-left:0.0pt;mso-wrap-distance-top:0.0pt;mso-wrap-distance-right:0.0pt;mso-wrap-distance-bottom:0.0pt;" stroked="f">
                      <v:path textboxrect="0,0,0,0"/>
                      <v:imagedata r:id="rId48"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常规</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1.椅背：背框PA+玻纤材质，高弹性透气加密网布，提供背部舒适支撑，</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2.椅座：采用3CM高弹力舒适海绵，高弹力透气座布，座板为定制多层弯曲板，配PP工程塑料防尘底壳，座垫可翻转。</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3.扶手： PA+玻纤材质，为固定款式扶手。</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4.椅架钢管脚架，横梁1.8厚，表面喷涂烤漆工艺，尼龙材质防滑脚垫。</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5.脚轮：Φ55mm黑色PU静音轮，便于搬动到不同使用场地。                                                                                                                                                                 6.功能：整椅可折叠收纳，节省摆放空间。</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条桌</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781050" cy="333375"/>
                      <wp:effectExtent l="0" t="0" r="11430" b="1905"/>
                      <wp:docPr id="39" name="图片 39" descr="IMG_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9" descr="IMG_294"/>
                              <pic:cNvPicPr>
                                <a:picLocks noChangeAspect="1"/>
                              </pic:cNvPicPr>
                              <pic:nvPr/>
                            </pic:nvPicPr>
                            <pic:blipFill>
                              <a:blip r:embed="rId49"/>
                              <a:stretch/>
                            </pic:blipFill>
                            <pic:spPr bwMode="auto">
                              <a:xfrm>
                                <a:off x="0" y="0"/>
                                <a:ext cx="781050" cy="333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61.5pt;height:26.2pt;mso-wrap-distance-left:0.0pt;mso-wrap-distance-top:0.0pt;mso-wrap-distance-right:0.0pt;mso-wrap-distance-bottom:0.0pt;" stroked="f">
                      <v:path textboxrect="0,0,0,0"/>
                      <v:imagedata r:id="rId49"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1400*400*750</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基材：采用E1级环保抗菌中密度纤维板，结构稳固，表面采用钢琴烤漆工艺，漆面达到镜面效果，致密性高，稳定性强，色彩饱满丰富、历久常新，表面质感细腻、光洁、平整，无滴挂、气泡、针孔、起鼓等现象，具有防火、防污、耐磨等特点。            </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2.木皮：采用AAA级胡桃木皮，厚度为0.6mm，木皮纹路清晰无瑕疵。       </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3.油漆：采用品牌环保油漆，色彩多样，具有环保、防腐、防水、耐化学品、耐光、耐温等特点。</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条桌</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781050" cy="333375"/>
                      <wp:effectExtent l="0" t="0" r="11430" b="1905"/>
                      <wp:docPr id="40" name="图片 40" descr="IMG_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40" descr="IMG_295"/>
                              <pic:cNvPicPr>
                                <a:picLocks noChangeAspect="1"/>
                              </pic:cNvPicPr>
                              <pic:nvPr/>
                            </pic:nvPicPr>
                            <pic:blipFill>
                              <a:blip r:embed="rId49"/>
                              <a:stretch/>
                            </pic:blipFill>
                            <pic:spPr bwMode="auto">
                              <a:xfrm>
                                <a:off x="0" y="0"/>
                                <a:ext cx="781050" cy="333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61.5pt;height:26.2pt;mso-wrap-distance-left:0.0pt;mso-wrap-distance-top:0.0pt;mso-wrap-distance-right:0.0pt;mso-wrap-distance-bottom:0.0pt;" stroked="f">
                      <v:path textboxrect="0,0,0,0"/>
                      <v:imagedata r:id="rId49"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1600*400*750</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基材：采用E1级环保抗菌中密度纤维板，结构稳固，表面采用钢琴烤漆工艺，漆面达到镜面效果，致密性高，稳定性强，色彩饱满丰富、历久常新，表面质感细腻、光洁、平整，无滴挂、气泡、针孔、起鼓等现象，具有防火、防污、耐磨等特点。            </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2.木皮：采用AAA级胡桃木皮，厚度为0.6mm，木皮纹路清晰无瑕疵。       </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3.油漆：采用品牌环保油漆，色彩多样，具有环保、防腐、防水、耐化学品、耐光、耐温等特点。</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会议椅</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381000" cy="419735"/>
                      <wp:effectExtent l="0" t="0" r="0" b="6985"/>
                      <wp:docPr id="41" name="图片 41" descr="IMG_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41" descr="IMG_296"/>
                              <pic:cNvPicPr>
                                <a:picLocks noChangeAspect="1"/>
                              </pic:cNvPicPr>
                              <pic:nvPr/>
                            </pic:nvPicPr>
                            <pic:blipFill>
                              <a:blip r:embed="rId50"/>
                              <a:stretch/>
                            </pic:blipFill>
                            <pic:spPr bwMode="auto">
                              <a:xfrm>
                                <a:off x="0" y="0"/>
                                <a:ext cx="381000" cy="4197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30.0pt;height:33.0pt;mso-wrap-distance-left:0.0pt;mso-wrap-distance-top:0.0pt;mso-wrap-distance-right:0.0pt;mso-wrap-distance-bottom:0.0pt;" stroked="f">
                      <v:path textboxrect="0,0,0,0"/>
                      <v:imagedata r:id="rId50"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常规</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1.面料：采用西皮面料，皮面柔软舒适，纹理细腻耐用</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2.内架：实木框架及夹板</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3.海棉：环保型高密度、高回弹PU泡绵，圆润厚实，弹性好 </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4.扶手脚架：实木</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5.油漆：油漆采用环保型PE底漆，PU面漆，颜色均匀硬度高</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会议桌</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52500" cy="404495"/>
                      <wp:effectExtent l="0" t="0" r="7620" b="6985"/>
                      <wp:docPr id="42" name="图片 42" descr="IMG_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42" descr="IMG_297"/>
                              <pic:cNvPicPr>
                                <a:picLocks noChangeAspect="1"/>
                              </pic:cNvPicPr>
                              <pic:nvPr/>
                            </pic:nvPicPr>
                            <pic:blipFill>
                              <a:blip r:embed="rId51"/>
                              <a:stretch/>
                            </pic:blipFill>
                            <pic:spPr bwMode="auto">
                              <a:xfrm>
                                <a:off x="0" y="0"/>
                                <a:ext cx="952500" cy="4044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75.0pt;height:31.8pt;mso-wrap-distance-left:0.0pt;mso-wrap-distance-top:0.0pt;mso-wrap-distance-right:0.0pt;mso-wrap-distance-bottom:0.0pt;" stroked="f">
                      <v:path textboxrect="0,0,0,0"/>
                      <v:imagedata r:id="rId51"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6000*2000*750</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基材：采用E0级环保抗菌中密度纤维板厚度≥18mm，结构稳固，表面采用钢琴烤漆工艺，漆面达到镜面效果，致密性高，稳定性强，色彩饱满丰富、历久常新，表面质感细腻、光洁、平整，无滴挂、气泡、针孔、起鼓等现象，具有防火、防污、耐磨等特点。            </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2.木皮：采用AAA级胡桃木皮，厚度为0.6mm，木皮纹路清晰无瑕疵。       </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3.油漆：采用品牌环保油漆，色彩多样，具有环保、防腐、防水、耐化学品、耐光、耐温等特点。</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会议椅</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294640" cy="361950"/>
                      <wp:effectExtent l="0" t="0" r="10160" b="3810"/>
                      <wp:docPr id="43" name="图片 43" descr="IMG_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3" descr="IMG_298"/>
                              <pic:cNvPicPr>
                                <a:picLocks noChangeAspect="1"/>
                              </pic:cNvPicPr>
                              <pic:nvPr/>
                            </pic:nvPicPr>
                            <pic:blipFill>
                              <a:blip r:embed="rId52"/>
                              <a:stretch/>
                            </pic:blipFill>
                            <pic:spPr bwMode="auto">
                              <a:xfrm>
                                <a:off x="0" y="0"/>
                                <a:ext cx="294640" cy="361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23.2pt;height:28.5pt;mso-wrap-distance-left:0.0pt;mso-wrap-distance-top:0.0pt;mso-wrap-distance-right:0.0pt;mso-wrap-distance-bottom:0.0pt;" stroked="f">
                      <v:path textboxrect="0,0,0,0"/>
                      <v:imagedata r:id="rId52"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常规</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1.西皮                                     </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2.18MM厚双层连体弯板                                                             </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3.42密度高弹力新绵        </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4.电镀弯头架，圆扁型1.8厚双套管配皮扶手面</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护士站站体（全低台）</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733425" cy="476250"/>
                      <wp:effectExtent l="0" t="0" r="13335" b="11430"/>
                      <wp:docPr id="44" name="图片 44" descr="IMG_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44" descr="IMG_299"/>
                              <pic:cNvPicPr>
                                <a:picLocks noChangeAspect="1"/>
                              </pic:cNvPicPr>
                              <pic:nvPr/>
                            </pic:nvPicPr>
                            <pic:blipFill>
                              <a:blip r:embed="rId53"/>
                              <a:stretch/>
                            </pic:blipFill>
                            <pic:spPr bwMode="auto">
                              <a:xfrm>
                                <a:off x="0" y="0"/>
                                <a:ext cx="733424" cy="476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57.8pt;height:37.5pt;mso-wrap-distance-left:0.0pt;mso-wrap-distance-top:0.0pt;mso-wrap-distance-right:0.0pt;mso-wrap-distance-bottom:0.0pt;" stroked="f">
                      <v:path textboxrect="0,0,0,0"/>
                      <v:imagedata r:id="rId53"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2700*900*1200</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1.基材：框架主体采用榫结构，保证结构稳固；采用实木板材，不易变形干裂。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2.软包：采用西皮。</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办公桌</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857250" cy="475615"/>
                      <wp:effectExtent l="0" t="0" r="11430" b="12065"/>
                      <wp:docPr id="45" name="图片 45" descr="IMG_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45" descr="IMG_300"/>
                              <pic:cNvPicPr>
                                <a:picLocks noChangeAspect="1"/>
                              </pic:cNvPicPr>
                              <pic:nvPr/>
                            </pic:nvPicPr>
                            <pic:blipFill>
                              <a:blip r:embed="rId54"/>
                              <a:stretch/>
                            </pic:blipFill>
                            <pic:spPr bwMode="auto">
                              <a:xfrm>
                                <a:off x="0" y="0"/>
                                <a:ext cx="857250" cy="475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67.5pt;height:37.4pt;mso-wrap-distance-left:0.0pt;mso-wrap-distance-top:0.0pt;mso-wrap-distance-right:0.0pt;mso-wrap-distance-bottom:0.0pt;" stroked="f">
                      <v:path textboxrect="0,0,0,0"/>
                      <v:imagedata r:id="rId54"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1400*600*750</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基材：采用品牌环保抗菌中密度纤维板，厚度≥18mm，结构稳固，表面采用钢琴烤漆工艺，漆面达到镜面效果，致密性高，稳定性强，色彩饱满丰富、历久常新，表面质感细腻、光洁、平整，无滴挂、气泡、针孔、起鼓等现象，具有防火、防污、耐磨等特点。</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2.采用品牌水性油漆，色彩多样，具有环保、防腐、防水、耐化学品、耐光、耐温等特点。</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3.导轨：抽拉自如，抽屉内能放置30kg负载重量，开关顺滑，双叠全拉带定位结构，防止滑出，静音效果好，使用寿命长。</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4.铰链，</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5.工艺：采用先进加工工艺，保证产品的精度和外观标准，结构稳固。</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诊桌</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857250" cy="476250"/>
                      <wp:effectExtent l="0" t="0" r="11430" b="11430"/>
                      <wp:docPr id="46" name="图片 46" descr="IMG_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6" descr="IMG_301"/>
                              <pic:cNvPicPr>
                                <a:picLocks noChangeAspect="1"/>
                              </pic:cNvPicPr>
                              <pic:nvPr/>
                            </pic:nvPicPr>
                            <pic:blipFill>
                              <a:blip r:embed="rId55"/>
                              <a:stretch/>
                            </pic:blipFill>
                            <pic:spPr bwMode="auto">
                              <a:xfrm>
                                <a:off x="0" y="0"/>
                                <a:ext cx="857250" cy="476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67.5pt;height:37.5pt;mso-wrap-distance-left:0.0pt;mso-wrap-distance-top:0.0pt;mso-wrap-distance-right:0.0pt;mso-wrap-distance-bottom:0.0pt;" stroked="f">
                      <v:path textboxrect="0,0,0,0"/>
                      <v:imagedata r:id="rId55"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1600*700*780</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基材：采用品牌环保抗菌中密度纤维板，厚度≥18mm，结构稳固，表面采用钢琴烤漆工艺，漆面达到镜面效果，致密性高，稳定性强，色彩饱满丰富、历久常新，表面质感细腻、光洁、平整，无滴挂、气泡、针孔、起鼓等现象，具有防火、防污、耐磨等特点。</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2.采用品牌水性油漆，色彩多样，具有环保、防腐、防水、耐化学品、耐光、耐温等特点。</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3.导轨：抽拉自如，抽屉内能放置30kg负载重量，开关顺滑，双叠全拉带定位结构，防止滑出，静音效果好，使用寿命长。</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4.铰链，</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5.工艺：采用先进加工工艺，保证产品的精度和外观标准，结构稳固。</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医用诊断椅</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371475" cy="476250"/>
                      <wp:effectExtent l="0" t="0" r="9525" b="11430"/>
                      <wp:docPr id="47" name="图片 47" descr="IMG_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47" descr="IMG_302"/>
                              <pic:cNvPicPr>
                                <a:picLocks noChangeAspect="1"/>
                              </pic:cNvPicPr>
                              <pic:nvPr/>
                            </pic:nvPicPr>
                            <pic:blipFill>
                              <a:blip r:embed="rId56"/>
                              <a:stretch/>
                            </pic:blipFill>
                            <pic:spPr bwMode="auto">
                              <a:xfrm>
                                <a:off x="0" y="0"/>
                                <a:ext cx="371475" cy="476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29.2pt;height:37.5pt;mso-wrap-distance-left:0.0pt;mso-wrap-distance-top:0.0pt;mso-wrap-distance-right:0.0pt;mso-wrap-distance-bottom:0.0pt;" stroked="f">
                      <v:path textboxrect="0,0,0,0"/>
                      <v:imagedata r:id="rId56"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常规</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1.基材：框架主体采用榫结构，保证椅子结构稳固；采用实木板材，不易变形干裂。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2.油漆：采用品牌水性环保漆。</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患者就诊椅</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409575" cy="476250"/>
                      <wp:effectExtent l="0" t="0" r="1905" b="11430"/>
                      <wp:docPr id="48" name="图片 48" descr="IMG_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48" descr="IMG_303"/>
                              <pic:cNvPicPr>
                                <a:picLocks noChangeAspect="1"/>
                              </pic:cNvPicPr>
                              <pic:nvPr/>
                            </pic:nvPicPr>
                            <pic:blipFill>
                              <a:blip r:embed="rId57"/>
                              <a:stretch/>
                            </pic:blipFill>
                            <pic:spPr bwMode="auto">
                              <a:xfrm>
                                <a:off x="0" y="0"/>
                                <a:ext cx="409575" cy="476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32.2pt;height:37.5pt;mso-wrap-distance-left:0.0pt;mso-wrap-distance-top:0.0pt;mso-wrap-distance-right:0.0pt;mso-wrap-distance-bottom:0.0pt;" stroked="f">
                      <v:path textboxrect="0,0,0,0"/>
                      <v:imagedata r:id="rId57"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常规</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1.采用西皮面料</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2.采用高密度海绵</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3.采用实木框架</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沙发+茶几</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448310" cy="404495"/>
                      <wp:effectExtent l="0" t="0" r="8890" b="6985"/>
                      <wp:docPr id="49" name="图片 49" descr="IMG_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49" descr="IMG_304"/>
                              <pic:cNvPicPr>
                                <a:picLocks noChangeAspect="1"/>
                              </pic:cNvPicPr>
                              <pic:nvPr/>
                            </pic:nvPicPr>
                            <pic:blipFill>
                              <a:blip r:embed="rId58"/>
                              <a:stretch/>
                            </pic:blipFill>
                            <pic:spPr bwMode="auto">
                              <a:xfrm>
                                <a:off x="0" y="0"/>
                                <a:ext cx="448310" cy="4044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35.3pt;height:31.8pt;mso-wrap-distance-left:0.0pt;mso-wrap-distance-top:0.0pt;mso-wrap-distance-right:0.0pt;mso-wrap-distance-bottom:0.0pt;" stroked="f">
                      <v:path textboxrect="0,0,0,0"/>
                      <v:imagedata r:id="rId58"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常规</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1.面料：采用环保西皮，柔软而富有韧性，手感舒适，经液态浸色及防潮等工艺处理，光泽持久性透气性强、耐磨性强、无异味、弹性好、肌理清晰，健康环保，经久耐用                                                                                                              2.海绵：采用高密度、高回弹原生</w:t>
            </w:r>
            <w:r>
              <w:rPr>
                <w:rFonts w:hint="eastAsia" w:ascii="微软雅黑" w:hAnsi="微软雅黑" w:eastAsia="微软雅黑" w:cs="微软雅黑"/>
                <w:i w:val="0"/>
                <w:iCs w:val="0"/>
                <w:color w:val="000000"/>
                <w:sz w:val="22"/>
                <w:szCs w:val="22"/>
                <w:u w:val="none"/>
                <w:lang w:val="en-US" w:eastAsia="zh-CN" w:bidi="ar"/>
              </w:rPr>
              <w:t xml:space="preserve">棉，密度40#。软硬适中，回弹性能好，抗变形能力强，根椐人体工程学原理设计，坐感舒适。                                                                                                     3.内框架：内框架采用多层实木框架，、木构件四面刨光，内部木材含水率8%-13%，木材防虫防腐处理，尼龙编织带穿插编织打底，与泡棉间隔垫麻布。 内部衬垫物干燥卫生，无腐烂变质、无夹杂泥沙及金属杂物，所有内部填充物清洁无异味。</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4.脚架：采用白蜡木。木材干燥应≤9%的含水量，无腐裂修补现象，表面洁净无污染。</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5.油漆：环保油漆，光亮平整，油漆无颗粒、气泡。</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6.茶几：采用2.5CM厚度高密度中纤板表面贴木皮。</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理疗床</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695325" cy="381000"/>
                      <wp:effectExtent l="0" t="0" r="5715" b="0"/>
                      <wp:docPr id="50" name="图片 50" descr="IMG_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50" descr="IMG_305"/>
                              <pic:cNvPicPr>
                                <a:picLocks noChangeAspect="1"/>
                              </pic:cNvPicPr>
                              <pic:nvPr/>
                            </pic:nvPicPr>
                            <pic:blipFill>
                              <a:blip r:embed="rId59"/>
                              <a:stretch/>
                            </pic:blipFill>
                            <pic:spPr bwMode="auto">
                              <a:xfrm>
                                <a:off x="0" y="0"/>
                                <a:ext cx="695325" cy="381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54.8pt;height:30.0pt;mso-wrap-distance-left:0.0pt;mso-wrap-distance-top:0.0pt;mso-wrap-distance-right:0.0pt;mso-wrap-distance-bottom:0.0pt;" stroked="f">
                      <v:path textboxrect="0,0,0,0"/>
                      <v:imagedata r:id="rId59"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1900*700*650</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1.基材：框架主体采用榫结构，保证结构稳固；采用实木板材，不易变形干裂。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2.软包：采用西皮。</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医用诊床</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629285" cy="476250"/>
                      <wp:effectExtent l="0" t="0" r="10795" b="11430"/>
                      <wp:docPr id="51" name="图片 51" descr="IMG_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51" descr="IMG_306"/>
                              <pic:cNvPicPr>
                                <a:picLocks noChangeAspect="1"/>
                              </pic:cNvPicPr>
                              <pic:nvPr/>
                            </pic:nvPicPr>
                            <pic:blipFill>
                              <a:blip r:embed="rId60"/>
                              <a:stretch/>
                            </pic:blipFill>
                            <pic:spPr bwMode="auto">
                              <a:xfrm>
                                <a:off x="0" y="0"/>
                                <a:ext cx="629285" cy="476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49.5pt;height:37.5pt;mso-wrap-distance-left:0.0pt;mso-wrap-distance-top:0.0pt;mso-wrap-distance-right:0.0pt;mso-wrap-distance-bottom:0.0pt;" stroked="f">
                      <v:path textboxrect="0,0,0,0"/>
                      <v:imagedata r:id="rId60"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1900*600*650</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1.基材：框架主体采用榫结构，保证结构稳固；采用实木板材，不易变形干裂。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2.软包：采用西皮。</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理疗床头柜</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247650" cy="429260"/>
                      <wp:effectExtent l="0" t="0" r="11430" b="12700"/>
                      <wp:docPr id="52" name="图片 52" descr="IMG_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52" descr="IMG_307"/>
                              <pic:cNvPicPr>
                                <a:picLocks noChangeAspect="1"/>
                              </pic:cNvPicPr>
                              <pic:nvPr/>
                            </pic:nvPicPr>
                            <pic:blipFill>
                              <a:blip r:embed="rId61"/>
                              <a:stretch/>
                            </pic:blipFill>
                            <pic:spPr bwMode="auto">
                              <a:xfrm>
                                <a:off x="0" y="0"/>
                                <a:ext cx="247650" cy="429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19.5pt;height:33.8pt;mso-wrap-distance-left:0.0pt;mso-wrap-distance-top:0.0pt;mso-wrap-distance-right:0.0pt;mso-wrap-distance-bottom:0.0pt;" stroked="f">
                      <v:path textboxrect="0,0,0,0"/>
                      <v:imagedata r:id="rId61"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常规</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1.基材：采用品牌环保抗菌刨花板，经防虫，防腐处理，抗弯力强，不易变形。</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2.封边：采用合格品牌封边条，符合QB/T4463-2013《家具用封边条技术要求》标准。</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3.工艺：采用先进加工工艺，保证产品的精度和外观标准，结构稳固。</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沙发</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438785" cy="404495"/>
                      <wp:effectExtent l="0" t="0" r="3175" b="6985"/>
                      <wp:docPr id="53" name="图片 53" descr="IMG_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53" descr="IMG_308"/>
                              <pic:cNvPicPr>
                                <a:picLocks noChangeAspect="1"/>
                              </pic:cNvPicPr>
                              <pic:nvPr/>
                            </pic:nvPicPr>
                            <pic:blipFill>
                              <a:blip r:embed="rId62"/>
                              <a:stretch/>
                            </pic:blipFill>
                            <pic:spPr bwMode="auto">
                              <a:xfrm>
                                <a:off x="0" y="0"/>
                                <a:ext cx="438785" cy="4044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34.5pt;height:31.8pt;mso-wrap-distance-left:0.0pt;mso-wrap-distance-top:0.0pt;mso-wrap-distance-right:0.0pt;mso-wrap-distance-bottom:0.0pt;" stroked="f">
                      <v:path textboxrect="0,0,0,0"/>
                      <v:imagedata r:id="rId62"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2000*900*900</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1.面料采用西皮，弹性好防磨耐脏；</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2.海绵采用高密度回弹海绵，可防氧化，防碎，软硬适中，回弹性好，不易变形；</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3.内框架为实木框架配多层夹板，选用实木原材经去皮、烘干、防虫防腐处理，坚固耐用；</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4.底座采用S形弹簧与高弹绷带形成稳固的网状结构，经久耐用；</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5.沙发无扶手，无靠背；底部配不锈钢脚架；</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6.所有材料安全无异味，使用寿命长。</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沙发</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438785" cy="404495"/>
                      <wp:effectExtent l="0" t="0" r="3175" b="6985"/>
                      <wp:docPr id="54" name="图片 54" descr="IMG_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54" descr="IMG_309"/>
                              <pic:cNvPicPr>
                                <a:picLocks noChangeAspect="1"/>
                              </pic:cNvPicPr>
                              <pic:nvPr/>
                            </pic:nvPicPr>
                            <pic:blipFill>
                              <a:blip r:embed="rId62"/>
                              <a:stretch/>
                            </pic:blipFill>
                            <pic:spPr bwMode="auto">
                              <a:xfrm>
                                <a:off x="0" y="0"/>
                                <a:ext cx="438785" cy="4044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34.5pt;height:31.8pt;mso-wrap-distance-left:0.0pt;mso-wrap-distance-top:0.0pt;mso-wrap-distance-right:0.0pt;mso-wrap-distance-bottom:0.0pt;" stroked="f">
                      <v:path textboxrect="0,0,0,0"/>
                      <v:imagedata r:id="rId62"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2000*900*900</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采用白蜡木实木框架，饰面为实木多层板，传统榫卯工艺，油漆：选用环保型哑光聚脂漆，在恒温、恒湿、高度防尘的面漆房采用五底三面油漆工艺喷涂，光亮平整，无颗粒、气泡、渣点，颜色均匀，漆腊硬度高，透明度高，纹理过渡自然，耐磨性强、手感细腻，游离甲醛释放含量≤0.18，环保无毒，采用西皮</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中药颗粒柜（30门）</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323850" cy="429260"/>
                      <wp:effectExtent l="0" t="0" r="11430" b="12700"/>
                      <wp:docPr id="55" name="图片 55" descr="IMG_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55" descr="IMG_310"/>
                              <pic:cNvPicPr>
                                <a:picLocks noChangeAspect="1"/>
                              </pic:cNvPicPr>
                              <pic:nvPr/>
                            </pic:nvPicPr>
                            <pic:blipFill>
                              <a:blip r:embed="rId63"/>
                              <a:stretch/>
                            </pic:blipFill>
                            <pic:spPr bwMode="auto">
                              <a:xfrm>
                                <a:off x="0" y="0"/>
                                <a:ext cx="323850" cy="429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25.5pt;height:33.8pt;mso-wrap-distance-left:0.0pt;mso-wrap-distance-top:0.0pt;mso-wrap-distance-right:0.0pt;mso-wrap-distance-bottom:0.0pt;" stroked="f">
                      <v:path textboxrect="0,0,0,0"/>
                      <v:imagedata r:id="rId63"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1500*500*2000</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1.柜体：采用品牌抗菌环保电解钢板，厚度≥1.0mm，表面接缝均满焊，焊接处均打磨平整以保持为连续的平滑表面具有耐酸碱腐蚀、光滑、不伤手等特点。</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2.喷涂：电解钢板表面采用室内环保型环氧树脂静电粉末喷涂，表面喷粉颜色靓丽，具有环保、抑菌、防锈、耐腐蚀、等技术特点，颜色满足院方要求。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3.台面：采用复合亚克力制作</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4.工艺：采用先进加工工艺，保证产品的精度和外观标准，结构稳固，柜体背后板采用插接工艺，柜后板交接处折弯厚度达到4.0mm,宽度达到18mm，保证整个柜体的背板支撑强度</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单面中药调剂台（含石材）</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532765" cy="429260"/>
                      <wp:effectExtent l="0" t="0" r="635" b="12700"/>
                      <wp:docPr id="56" name="图片 56" descr="IMG_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56" descr="IMG_311"/>
                              <pic:cNvPicPr>
                                <a:picLocks noChangeAspect="1"/>
                              </pic:cNvPicPr>
                              <pic:nvPr/>
                            </pic:nvPicPr>
                            <pic:blipFill>
                              <a:blip r:embed="rId64"/>
                              <a:stretch/>
                            </pic:blipFill>
                            <pic:spPr bwMode="auto">
                              <a:xfrm>
                                <a:off x="0" y="0"/>
                                <a:ext cx="532765" cy="429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41.9pt;height:33.8pt;mso-wrap-distance-left:0.0pt;mso-wrap-distance-top:0.0pt;mso-wrap-distance-right:0.0pt;mso-wrap-distance-bottom:0.0pt;" stroked="f">
                      <v:path textboxrect="0,0,0,0"/>
                      <v:imagedata r:id="rId64"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1000*600*900</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1.柜体：采用品牌抗菌环保电解钢板，厚度≥1.0mm，表面接缝均满焊，焊接处均打磨平整以保持为连续的平滑表面具有耐酸碱腐蚀、光滑、不伤手等特点。</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2.喷涂：电解钢板表面采用室内环保型环氧树脂静电粉末喷涂，表面喷粉颜色靓丽，具有环保、抑菌、防锈、耐腐蚀、等技术特点，颜色满足院方要求。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3.台面：采用复合亚克力制作</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4.工艺：采用先进加工工艺，保证产品的精度和外观标准，结构稳固，柜体背后板采用插接工艺，柜后板交接处折弯厚度达到4.0mm,宽度达到18mm，保证整个柜体的背板支撑强度</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哺乳沙发</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514350" cy="476250"/>
                      <wp:effectExtent l="0" t="0" r="3810" b="11430"/>
                      <wp:docPr id="57" name="图片 57" descr="IMG_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57" descr="IMG_312"/>
                              <pic:cNvPicPr>
                                <a:picLocks noChangeAspect="1"/>
                              </pic:cNvPicPr>
                              <pic:nvPr/>
                            </pic:nvPicPr>
                            <pic:blipFill>
                              <a:blip r:embed="rId65"/>
                              <a:stretch/>
                            </pic:blipFill>
                            <pic:spPr bwMode="auto">
                              <a:xfrm>
                                <a:off x="0" y="0"/>
                                <a:ext cx="514350" cy="476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40.5pt;height:37.5pt;mso-wrap-distance-left:0.0pt;mso-wrap-distance-top:0.0pt;mso-wrap-distance-right:0.0pt;mso-wrap-distance-bottom:0.0pt;" stroked="f">
                      <v:path textboxrect="0,0,0,0"/>
                      <v:imagedata r:id="rId65"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常规</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1.面材：采用西皮</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2.海绵：座垫使用高弹海绵</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3.内架：材料为实木框架，经去皮、烘干、防虫防腐处理。</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4.沙发脚：实木沙发脚。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茶几</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581025" cy="476250"/>
                      <wp:effectExtent l="0" t="0" r="13335" b="11430"/>
                      <wp:docPr id="58" name="图片 58" descr="IMG_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58" descr="IMG_313"/>
                              <pic:cNvPicPr>
                                <a:picLocks noChangeAspect="1"/>
                              </pic:cNvPicPr>
                              <pic:nvPr/>
                            </pic:nvPicPr>
                            <pic:blipFill>
                              <a:blip r:embed="rId66"/>
                              <a:stretch/>
                            </pic:blipFill>
                            <pic:spPr bwMode="auto">
                              <a:xfrm>
                                <a:off x="0" y="0"/>
                                <a:ext cx="581025" cy="476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45.8pt;height:37.5pt;mso-wrap-distance-left:0.0pt;mso-wrap-distance-top:0.0pt;mso-wrap-distance-right:0.0pt;mso-wrap-distance-bottom:0.0pt;" stroked="f">
                      <v:path textboxrect="0,0,0,0"/>
                      <v:imagedata r:id="rId66"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θ600*600*450</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rPr>
                <w:rFonts w:hint="eastAsia" w:ascii="微软雅黑" w:hAnsi="微软雅黑" w:eastAsia="微软雅黑" w:cs="微软雅黑"/>
                <w:i w:val="0"/>
                <w:iCs w:val="0"/>
                <w:color w:val="000000"/>
                <w:sz w:val="22"/>
                <w:szCs w:val="22"/>
                <w:u w:val="none"/>
                <w:lang w:val="en-US" w:eastAsia="zh-CN" w:bidi="ar"/>
              </w:rPr>
              <w:t xml:space="preserve">.基材：双饰面浸渍胶膜纸饰面刨花板，符合GB/T15102-2017《浸渍胶膜纸饰面纤维板和刨花板》、GB18580-2017《室内装饰装修材料 人造板及其制品中甲醛释放限量》、GB/T35601-2017《绿色产品评价 人造板和木质地板》、GB/T39600-2021《人造板及其制品甲醛释放量分级》、HJ571-2010《环境标志产品技术要求人造板及其制品》、GB18584-2001《室内装饰装修材料 木家具中有害物质限量》和GB8624-2012《建筑材料及制品燃烧性能分级》要求。。台面厚度≥25mm。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2.封边：采用同色ABS封边条，表面应无皱纹、裂纹、染色线、无明显的气泡、针孔、划痕等瑕疵，符合 QB/T4463-2013《家具用封边条技术要求》要求。。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3.下架：钢架脚，壁厚≥1.5mm，钢架焊接。表面经热固性粉末涂料喷涂处理，粉末符合HG/T2006-2022《热固性和热塑性粉末涂料》。。</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操作储物柜（木质）</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266065" cy="429260"/>
                      <wp:effectExtent l="0" t="0" r="8255" b="12700"/>
                      <wp:docPr id="59" name="图片 59" descr="IMG_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59" descr="IMG_314"/>
                              <pic:cNvPicPr>
                                <a:picLocks noChangeAspect="1"/>
                              </pic:cNvPicPr>
                              <pic:nvPr/>
                            </pic:nvPicPr>
                            <pic:blipFill>
                              <a:blip r:embed="rId67"/>
                              <a:stretch/>
                            </pic:blipFill>
                            <pic:spPr bwMode="auto">
                              <a:xfrm>
                                <a:off x="0" y="0"/>
                                <a:ext cx="266065" cy="429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20.9pt;height:33.8pt;mso-wrap-distance-left:0.0pt;mso-wrap-distance-top:0.0pt;mso-wrap-distance-right:0.0pt;mso-wrap-distance-bottom:0.0pt;" stroked="f">
                      <v:path textboxrect="0,0,0,0"/>
                      <v:imagedata r:id="rId67"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2000*600*850</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延米</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1.基材：采用品牌环保抗菌刨花板，经防虫，防腐处理，抗弯力强，不易变形。</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2.封边：采用合格品牌封边条，符合QB/T4463-2013《家具用封边条技术要求》标准。</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3.导轨：抽拉自如，抽屉内能放置30kg负载重量，开关顺滑，双叠全拉带定位结构，防止滑出，静音效果好，使用寿命长。</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4.工艺：采用先进加工工艺，保证产品的精度和外观标准，结构稳固。</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5.台面采用复合亚克力制作</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餐椅</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419100" cy="476250"/>
                      <wp:effectExtent l="0" t="0" r="7620" b="11430"/>
                      <wp:docPr id="60" name="图片 60" descr="IMG_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60" descr="IMG_315"/>
                              <pic:cNvPicPr>
                                <a:picLocks noChangeAspect="1"/>
                              </pic:cNvPicPr>
                              <pic:nvPr/>
                            </pic:nvPicPr>
                            <pic:blipFill>
                              <a:blip r:embed="rId68"/>
                              <a:stretch/>
                            </pic:blipFill>
                            <pic:spPr bwMode="auto">
                              <a:xfrm>
                                <a:off x="0" y="0"/>
                                <a:ext cx="419100" cy="476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33.0pt;height:37.5pt;mso-wrap-distance-left:0.0pt;mso-wrap-distance-top:0.0pt;mso-wrap-distance-right:0.0pt;mso-wrap-distance-bottom:0.0pt;" stroked="f">
                      <v:path textboxrect="0,0,0,0"/>
                      <v:imagedata r:id="rId68"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常规</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材质：坐垫部分曲木板基材，表面贴防火防水装饰板，四周经多次打磨油漆防水封边；椅架：201不锈钢，</w:t>
            </w:r>
            <w:r>
              <w:rPr>
                <w:rFonts w:hint="eastAsia" w:ascii="微软雅黑" w:hAnsi="微软雅黑" w:eastAsia="微软雅黑" w:cs="微软雅黑"/>
                <w:i w:val="0"/>
                <w:iCs w:val="0"/>
                <w:color w:val="ff0000"/>
                <w:sz w:val="22"/>
                <w:szCs w:val="22"/>
                <w:u w:val="none"/>
                <w:lang w:val="en-US" w:eastAsia="zh-CN" w:bidi="ar"/>
              </w:rPr>
              <w:t xml:space="preserve">实心12mm</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餐桌</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590550" cy="476250"/>
                      <wp:effectExtent l="0" t="0" r="3810" b="11430"/>
                      <wp:docPr id="61" name="图片 61" descr="IMG_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61" descr="IMG_316"/>
                              <pic:cNvPicPr>
                                <a:picLocks noChangeAspect="1"/>
                              </pic:cNvPicPr>
                              <pic:nvPr/>
                            </pic:nvPicPr>
                            <pic:blipFill>
                              <a:blip r:embed="rId69"/>
                              <a:stretch/>
                            </pic:blipFill>
                            <pic:spPr bwMode="auto">
                              <a:xfrm>
                                <a:off x="0" y="0"/>
                                <a:ext cx="590549" cy="476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46.5pt;height:37.5pt;mso-wrap-distance-left:0.0pt;mso-wrap-distance-top:0.0pt;mso-wrap-distance-right:0.0pt;mso-wrap-distance-bottom:0.0pt;" stroked="f">
                      <v:path textboxrect="0,0,0,0"/>
                      <v:imagedata r:id="rId69"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1300*700*760</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1.台面：E0级为多层板基材，表面贴防火防水装饰板，四周经多次打磨油漆防水封边；</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2.台架：铁制喷涂：400*400方铁板底座，高标准焊接，</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3.木色： SL-8001(茶色细节木）</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4.五金：铁制喷涂黑色，</w:t>
            </w:r>
            <w:r>
              <w:rPr>
                <w:rFonts w:hint="eastAsia" w:ascii="微软雅黑" w:hAnsi="微软雅黑" w:eastAsia="微软雅黑" w:cs="微软雅黑"/>
                <w:i w:val="0"/>
                <w:iCs w:val="0"/>
                <w:color w:val="ff0000"/>
                <w:sz w:val="22"/>
                <w:szCs w:val="22"/>
                <w:u w:val="none"/>
                <w:lang w:val="en-US" w:eastAsia="zh-CN" w:bidi="ar"/>
              </w:rPr>
              <w:t xml:space="preserve">钢管厚度不小于1.5mm.</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茶几</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342900" cy="404495"/>
                      <wp:effectExtent l="0" t="0" r="7620" b="6985"/>
                      <wp:docPr id="62" name="图片 62" descr="IMG_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62" descr="IMG_317"/>
                              <pic:cNvPicPr>
                                <a:picLocks noChangeAspect="1"/>
                              </pic:cNvPicPr>
                              <pic:nvPr/>
                            </pic:nvPicPr>
                            <pic:blipFill>
                              <a:blip r:embed="rId70"/>
                              <a:stretch/>
                            </pic:blipFill>
                            <pic:spPr bwMode="auto">
                              <a:xfrm>
                                <a:off x="0" y="0"/>
                                <a:ext cx="342900" cy="4044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27.0pt;height:31.8pt;mso-wrap-distance-left:0.0pt;mso-wrap-distance-top:0.0pt;mso-wrap-distance-right:0.0pt;mso-wrap-distance-bottom:0.0pt;" stroked="f">
                      <v:path textboxrect="0,0,0,0"/>
                      <v:imagedata r:id="rId70"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θ800</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1.采用中密度纤维板</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2.采用实木脚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休闲椅</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333375" cy="361950"/>
                      <wp:effectExtent l="0" t="0" r="1905" b="3810"/>
                      <wp:docPr id="63" name="图片 63" descr="IMG_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63" descr="IMG_318"/>
                              <pic:cNvPicPr>
                                <a:picLocks noChangeAspect="1"/>
                              </pic:cNvPicPr>
                              <pic:nvPr/>
                            </pic:nvPicPr>
                            <pic:blipFill>
                              <a:blip r:embed="rId71"/>
                              <a:stretch/>
                            </pic:blipFill>
                            <pic:spPr bwMode="auto">
                              <a:xfrm>
                                <a:off x="0" y="0"/>
                                <a:ext cx="333375" cy="361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26.2pt;height:28.5pt;mso-wrap-distance-left:0.0pt;mso-wrap-distance-top:0.0pt;mso-wrap-distance-right:0.0pt;mso-wrap-distance-bottom:0.0pt;" stroked="f">
                      <v:path textboxrect="0,0,0,0"/>
                      <v:imagedata r:id="rId71"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常规</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1.采用实木弯板靠背</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2.采用密度海绵填充</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3.采用西皮饰面</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4.黑色实木脚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成人雾化桌</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523875" cy="476250"/>
                      <wp:effectExtent l="0" t="0" r="9525" b="11430"/>
                      <wp:docPr id="64" name="图片 64" descr="IMG_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64" descr="IMG_319"/>
                              <pic:cNvPicPr>
                                <a:picLocks noChangeAspect="1"/>
                              </pic:cNvPicPr>
                              <pic:nvPr/>
                            </pic:nvPicPr>
                            <pic:blipFill>
                              <a:blip r:embed="rId72"/>
                              <a:stretch/>
                            </pic:blipFill>
                            <pic:spPr bwMode="auto">
                              <a:xfrm>
                                <a:off x="0" y="0"/>
                                <a:ext cx="523875" cy="476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41.2pt;height:37.5pt;mso-wrap-distance-left:0.0pt;mso-wrap-distance-top:0.0pt;mso-wrap-distance-right:0.0pt;mso-wrap-distance-bottom:0.0pt;" stroked="f">
                      <v:path textboxrect="0,0,0,0"/>
                      <v:imagedata r:id="rId72"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800*600*1150</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基材：采用E1级环保抗菌中密度纤维板，厚度≥18mm，结构稳固，表面采用钢琴烤漆工艺，漆面达到镜面效果，致密性高，稳定性强，色彩饱满丰富、历久常新，表面质感细腻、光洁、平整，无滴挂、气泡、针孔、起鼓等现象，具有防火、防污、耐磨等特点。</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2.采用品牌水性油漆，色彩多样，具有环保、防腐、防水、耐化学品、耐光、耐温等特点。</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雾化椅</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381000" cy="429260"/>
                      <wp:effectExtent l="0" t="0" r="0" b="12700"/>
                      <wp:docPr id="65" name="图片 65" descr="IMG_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65" descr="IMG_320"/>
                              <pic:cNvPicPr>
                                <a:picLocks noChangeAspect="1"/>
                              </pic:cNvPicPr>
                              <pic:nvPr/>
                            </pic:nvPicPr>
                            <pic:blipFill>
                              <a:blip r:embed="rId23"/>
                              <a:stretch/>
                            </pic:blipFill>
                            <pic:spPr bwMode="auto">
                              <a:xfrm>
                                <a:off x="0" y="0"/>
                                <a:ext cx="381000" cy="429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30.0pt;height:33.8pt;mso-wrap-distance-left:0.0pt;mso-wrap-distance-top:0.0pt;mso-wrap-distance-right:0.0pt;mso-wrap-distance-bottom:0.0pt;" stroked="f">
                      <v:path textboxrect="0,0,0,0"/>
                      <v:imagedata r:id="rId23"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常规</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1.采用西皮面料</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2.采用高密度海绵</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3.采用实木框架</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值班上下床（木质）</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438785" cy="429260"/>
                      <wp:effectExtent l="0" t="0" r="3175" b="12700"/>
                      <wp:docPr id="66" name="图片 66" descr="IMG_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6" descr="IMG_321"/>
                              <pic:cNvPicPr>
                                <a:picLocks noChangeAspect="1"/>
                              </pic:cNvPicPr>
                              <pic:nvPr/>
                            </pic:nvPicPr>
                            <pic:blipFill>
                              <a:blip r:embed="rId73"/>
                              <a:stretch/>
                            </pic:blipFill>
                            <pic:spPr bwMode="auto">
                              <a:xfrm>
                                <a:off x="0" y="0"/>
                                <a:ext cx="438785" cy="429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34.5pt;height:33.8pt;mso-wrap-distance-left:0.0pt;mso-wrap-distance-top:0.0pt;mso-wrap-distance-right:0.0pt;mso-wrap-distance-bottom:0.0pt;" stroked="f">
                      <v:path textboxrect="0,0,0,0"/>
                      <v:imagedata r:id="rId73"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2000*1000*1800</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1.床架：采用采用实木制作，自然原木色，纹理清晰细腻。实木床：</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2.工艺：所有木材均经过防虫、防腐、耐高温、高盐碱等特殊处理，结构采用传统入隼结构，牢固耐用。</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3.不含床垫</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床头柜</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448310" cy="429260"/>
                      <wp:effectExtent l="0" t="0" r="8890" b="12700"/>
                      <wp:docPr id="67" name="图片 67" descr="IMG_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67" descr="IMG_322"/>
                              <pic:cNvPicPr>
                                <a:picLocks noChangeAspect="1"/>
                              </pic:cNvPicPr>
                              <pic:nvPr/>
                            </pic:nvPicPr>
                            <pic:blipFill>
                              <a:blip r:embed="rId74"/>
                              <a:stretch/>
                            </pic:blipFill>
                            <pic:spPr bwMode="auto">
                              <a:xfrm>
                                <a:off x="0" y="0"/>
                                <a:ext cx="448310" cy="429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35.3pt;height:33.8pt;mso-wrap-distance-left:0.0pt;mso-wrap-distance-top:0.0pt;mso-wrap-distance-right:0.0pt;mso-wrap-distance-bottom:0.0pt;" stroked="f">
                      <v:path textboxrect="0,0,0,0"/>
                      <v:imagedata r:id="rId74"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420*420*500</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1.基材：采用品牌环保抗菌刨花板，经防虫，防腐处理，抗弯力强，不易变形。</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2.封边：采用合格品牌封边条，符合QB/T4463-2013《家具用封边条技术要求》标准。</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3.导轨：抽拉自如，抽屉内能放置30kg负载重量，开关顺滑，双叠全拉带定位结构，防止滑出，静音效果好，使用寿命长。</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4.工艺：采用先进加工工艺，保证产品的精度和外观标准，结构稳固。</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2门更衣/鞋柜（上更衣，下鞋柜）</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61925" cy="429260"/>
                      <wp:effectExtent l="0" t="0" r="5715" b="12700"/>
                      <wp:docPr id="68" name="图片 68" descr="IMG_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8" descr="IMG_323"/>
                              <pic:cNvPicPr>
                                <a:picLocks noChangeAspect="1"/>
                              </pic:cNvPicPr>
                              <pic:nvPr/>
                            </pic:nvPicPr>
                            <pic:blipFill>
                              <a:blip r:embed="rId75"/>
                              <a:stretch/>
                            </pic:blipFill>
                            <pic:spPr bwMode="auto">
                              <a:xfrm>
                                <a:off x="0" y="0"/>
                                <a:ext cx="161925" cy="429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12.8pt;height:33.8pt;mso-wrap-distance-left:0.0pt;mso-wrap-distance-top:0.0pt;mso-wrap-distance-right:0.0pt;mso-wrap-distance-bottom:0.0pt;" stroked="f">
                      <v:path textboxrect="0,0,0,0"/>
                      <v:imagedata r:id="rId75"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600*450*1800</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1.柜体：采用品牌抗菌环保电解钢板，厚度≥1.0mm，柜体重量≥67kg，表面接缝均满焊，焊接处均打磨平整以保持为连续的平滑表面具有耐酸碱腐蚀、光滑、不伤手等特点。</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2.喷涂：电解钢板表面采用室内环保型环氧树脂静电粉末喷涂，表面喷粉颜色靓丽，具有环保、抑菌、防锈、耐腐蚀、等技术特点，颜色满足院方要求。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3.铰链，</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4.锁具：采用国产品牌锁具，锁定到位，开启灵活，表面常规镀光亮铬处理。制作工艺精湛，外观漂亮。</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5.工艺：采用先进加工工艺，保证产品的精度和外观标准，结构稳固，柜体背后板采用插接工艺，柜后板交接处折弯厚度达到4.0mm,宽度达到18mm，保证整个柜体的背板支撑强度</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3门更衣/鞋柜（上更衣，下鞋柜）</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228600" cy="429260"/>
                      <wp:effectExtent l="0" t="0" r="0" b="12700"/>
                      <wp:docPr id="69" name="图片 69" descr="IMG_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69" descr="IMG_324"/>
                              <pic:cNvPicPr>
                                <a:picLocks noChangeAspect="1"/>
                              </pic:cNvPicPr>
                              <pic:nvPr/>
                            </pic:nvPicPr>
                            <pic:blipFill>
                              <a:blip r:embed="rId76"/>
                              <a:stretch/>
                            </pic:blipFill>
                            <pic:spPr bwMode="auto">
                              <a:xfrm>
                                <a:off x="0" y="0"/>
                                <a:ext cx="228600" cy="429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18.0pt;height:33.8pt;mso-wrap-distance-left:0.0pt;mso-wrap-distance-top:0.0pt;mso-wrap-distance-right:0.0pt;mso-wrap-distance-bottom:0.0pt;" stroked="f">
                      <v:path textboxrect="0,0,0,0"/>
                      <v:imagedata r:id="rId76"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900*450*1800</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1.柜体：采用品牌抗菌环保电解钢板，厚度≥1.0mm，柜体重量≥94kg,表面接缝均满焊，焊接处均打磨平整以保持为连续的平滑表面具有耐酸碱腐蚀、光滑、不伤手等特点。</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2.喷涂：电解钢板表面采用室内环保型环氧树脂静电粉末喷涂，表面喷粉颜色靓丽，具有环保、抑菌、防锈、耐腐蚀、等技术特点，颜色满足院方要求。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3.铰链，</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4.锁具：采用国产品牌锁具，锁定到位，开启灵活，表面常规镀光亮铬处理。制作工艺精湛，外观漂亮。</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5.工艺：采用先进加工工艺，保证产品的精度和外观标准，结构稳固，柜体背后板采用插接工艺，柜后板交接处折弯厚度达到4.0mm,宽度达到18mm，保证整个柜体的背板支撑强度</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候诊椅（三人）</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628650" cy="476250"/>
                      <wp:effectExtent l="0" t="0" r="11430" b="11430"/>
                      <wp:docPr id="70" name="图片 70" descr="IMG_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70" descr="IMG_325"/>
                              <pic:cNvPicPr>
                                <a:picLocks noChangeAspect="1"/>
                              </pic:cNvPicPr>
                              <pic:nvPr/>
                            </pic:nvPicPr>
                            <pic:blipFill>
                              <a:blip r:embed="rId77"/>
                              <a:stretch/>
                            </pic:blipFill>
                            <pic:spPr bwMode="auto">
                              <a:xfrm>
                                <a:off x="0" y="0"/>
                                <a:ext cx="628650" cy="476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49.5pt;height:37.5pt;mso-wrap-distance-left:0.0pt;mso-wrap-distance-top:0.0pt;mso-wrap-distance-right:0.0pt;mso-wrap-distance-bottom:0.0pt;" stroked="f">
                      <v:path textboxrect="0,0,0,0"/>
                      <v:imagedata r:id="rId77"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常规</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1.椅座/椅背（1）材质：自结皮聚氨酯（PU）内置钢骨架 （2）结构：内衬为钢骨架，外部采用聚氨酯（PU）全部包裹（即椅座和椅背造型上无外露钢架）模塑成型，也就是利用特殊工艺将聚氨酯组</w:t>
            </w:r>
            <w:r>
              <w:rPr>
                <w:rFonts w:hint="eastAsia" w:ascii="微软雅黑" w:hAnsi="微软雅黑" w:eastAsia="微软雅黑" w:cs="微软雅黑"/>
                <w:i w:val="0"/>
                <w:iCs w:val="0"/>
                <w:color w:val="000000"/>
                <w:sz w:val="22"/>
                <w:szCs w:val="22"/>
                <w:u w:val="none"/>
                <w:lang w:val="en-US" w:eastAsia="zh-CN" w:bidi="ar"/>
              </w:rPr>
              <w:t xml:space="preserve">份一次形成带坚实表皮的泡沫塑料制品；座椅安装为卡扣式结构，横梁有定位，安装简单牢固一次到位，座椅厚度：30mm,座椅乘托处厚度85mm，座宽：520mm，座深：465mm，背高：480mm,四周倒圆角美观大方防止磕碰对人体造成损伤，PU颜色可选。(3）自结皮聚氨酯（PU）优点：①无有害物质，环保。②皮质拉力好，不易撕裂，力学性优于人造革。③耐腐蚀，抗磨性能好，使用寿命比人造革好。④无任何难闻气味。⑤没有气孔，防水，不会渗透。⑥皮质柔软，耐冲性，减震，不易使人体受伤，安全。⑦耐寒性，不易受气温的影响，四季皆宜</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扶手、脚（1）扶手材质：采用铝合金压铸一体成型，外观设计线条优美，简洁大方，扶手为封闭式，不分左右，中间加扶手的安装不影响座椅的宽度空间；扶手采用封闭结构，以防止扶手挂带衣物造成不安全。延伸长度不低于座椅面深度的70%，扶手后边弧度与靠背同等无外凸，外观大方无锐角，表面圆滑，扶手整体离地高度645mm，整体宽度40mm,最宽处：45mm</w:t>
            </w:r>
            <w:r>
              <w:rPr>
                <w:rFonts w:hint="eastAsia" w:ascii="微软雅黑" w:hAnsi="微软雅黑" w:eastAsia="微软雅黑" w:cs="微软雅黑"/>
                <w:i w:val="0"/>
                <w:iCs w:val="0"/>
                <w:color w:val="000000"/>
                <w:sz w:val="22"/>
                <w:szCs w:val="22"/>
                <w:u w:val="none"/>
                <w:lang w:val="en-US" w:eastAsia="zh-CN" w:bidi="ar"/>
              </w:rPr>
              <w:t xml:space="preserve">，长度上端352mm-下端130mm，扶手高度320mm，可根据要求中间加装扶手不受限制，表面做静电喷粉喷涂或者高分子纳米处理，扶手线条感强，涂层厚度≥70μm,表面光滑、色泽饱满，不易磨损掉漆,符合人体工程学设计。（2）脚材质：采用铝合金压铸一体成型，脚前后长度(带脚垫)648mm，不带脚垫长度598mm，脚宽度40mm；站脚形状为“人”字型以确保最佳的支撑稳定性，脚的表面有倒三角形的压铸造型，增加站脚的支撑力度；椅腿底部附有不易刮伤表面的防滑ABS塑料脚垫以防损坏表面，可提供高度调节及地面水平恢复系统。</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3.横梁：采用2.0mm厚度管径70mm*70mm冷轧钢管件，表面做静电喷粉喷涂处理或高分子纳米处理，涂层厚度≥70μm，表面光滑、色泽饱满，不易磨损掉漆，横梁两头配有塑料胶塞  </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4.调节脚：调节脚为黑色GPR脚垫，直径74mm，厚度18mm，与地面接触没有响声，沉稳大方，具体保护地面作用。</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候诊椅（四人）</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628650" cy="476250"/>
                      <wp:effectExtent l="0" t="0" r="11430" b="11430"/>
                      <wp:docPr id="71" name="图片 71" descr="IMG_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71" descr="IMG_326"/>
                              <pic:cNvPicPr>
                                <a:picLocks noChangeAspect="1"/>
                              </pic:cNvPicPr>
                              <pic:nvPr/>
                            </pic:nvPicPr>
                            <pic:blipFill>
                              <a:blip r:embed="rId77"/>
                              <a:stretch/>
                            </pic:blipFill>
                            <pic:spPr bwMode="auto">
                              <a:xfrm>
                                <a:off x="0" y="0"/>
                                <a:ext cx="628650" cy="476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49.5pt;height:37.5pt;mso-wrap-distance-left:0.0pt;mso-wrap-distance-top:0.0pt;mso-wrap-distance-right:0.0pt;mso-wrap-distance-bottom:0.0pt;" stroked="f">
                      <v:path textboxrect="0,0,0,0"/>
                      <v:imagedata r:id="rId77"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常规</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1.椅座/椅背（1）材质：自结皮聚氨酯（PU）内置钢骨架 （2）结构：内衬为钢骨架，外部采用聚氨酯（PU）全部包裹（即椅座和椅背造型上无外露钢架）模塑成型，也就是利用特殊工艺将聚氨酯组</w:t>
            </w:r>
            <w:r>
              <w:rPr>
                <w:rFonts w:hint="eastAsia" w:ascii="微软雅黑" w:hAnsi="微软雅黑" w:eastAsia="微软雅黑" w:cs="微软雅黑"/>
                <w:i w:val="0"/>
                <w:iCs w:val="0"/>
                <w:color w:val="000000"/>
                <w:sz w:val="22"/>
                <w:szCs w:val="22"/>
                <w:u w:val="none"/>
                <w:lang w:val="en-US" w:eastAsia="zh-CN" w:bidi="ar"/>
              </w:rPr>
              <w:t xml:space="preserve">份一次形成带坚实表皮的泡沫塑料制品；座椅安装为卡扣式结构，横梁有定位，安装简单牢固一次到位，座椅厚度：30mm,座椅乘托处厚度85mm，座宽：520mm，座深：465mm，背高：480mm,四周倒圆角美观大方防止磕碰对人体造成损伤，PU颜色可选。(3）自结皮聚氨酯（PU）优点：①无有害物质，环保。②皮质拉力好，不易撕裂，力学性优于人造革。③耐腐蚀，抗磨性能好，使用寿命比人造革好。④无任何难闻气味。⑤没有气孔，防水，不会渗透。⑥皮质柔软，耐冲性，减震，不易使人体受伤，安全。⑦耐寒性，不易受气温的影响，四季皆宜</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扶手、脚（1）扶手材质：采用铝合金压铸一体成型，外观设计线条优美，简洁大方，扶手为封闭式，不分左右，中间加扶手的安装不影响座椅的宽度空间；扶手采用封闭结构，以防止扶手挂带衣物造成不安全。延伸长度不低于座椅面深度的70%，扶手后边弧度与靠背同等无外凸，外观大方无锐角，表面圆滑，扶手整体离地高度645mm，整体宽度40mm,最宽处：45mm</w:t>
            </w:r>
            <w:r>
              <w:rPr>
                <w:rFonts w:hint="eastAsia" w:ascii="微软雅黑" w:hAnsi="微软雅黑" w:eastAsia="微软雅黑" w:cs="微软雅黑"/>
                <w:i w:val="0"/>
                <w:iCs w:val="0"/>
                <w:color w:val="000000"/>
                <w:sz w:val="22"/>
                <w:szCs w:val="22"/>
                <w:u w:val="none"/>
                <w:lang w:val="en-US" w:eastAsia="zh-CN" w:bidi="ar"/>
              </w:rPr>
              <w:t xml:space="preserve">，长度上端352mm-下端130mm，扶手高度320mm，可根据要求中间加装扶手不受限制，表面做静电喷粉喷涂或者高分子纳米处理，扶手线条感强，涂层厚度≥70μm,表面光滑、色泽饱满，不易磨损掉漆,符合人体工程学设计。（2）脚材质：采用铝合金压铸一体成型，脚前后长度(带脚垫)648mm，不带脚垫长度598mm，脚宽度40mm；站脚形状为“人”字型以确保最佳的支撑稳定性，脚的表面有倒三角形的压铸造型，增加站脚的支撑力度；椅腿底部附有不易刮伤表面的防滑ABS塑料脚垫以防损坏表面，可提供高度调节及地面水平恢复系统。</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3.横梁：采用2.0mm厚度管径70mm*70mm冷轧钢管件，表面做静电喷粉喷涂处理或高分子纳米处理，涂层厚度≥70μm，表面光滑、色泽饱满，不易磨损掉漆，横梁两头配有塑料胶塞  </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4.调节脚：调节脚为黑色GPR脚垫，直径74mm，厚度18mm，与地面接触没有响声，沉稳大方，具体保护地面作用。</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升降检查床</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429260" cy="429260"/>
                      <wp:effectExtent l="0" t="0" r="12700" b="12700"/>
                      <wp:docPr id="72" name="图片 72" descr="IMG_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72" descr="IMG_327"/>
                              <pic:cNvPicPr>
                                <a:picLocks noChangeAspect="1"/>
                              </pic:cNvPicPr>
                              <pic:nvPr/>
                            </pic:nvPicPr>
                            <pic:blipFill>
                              <a:blip r:embed="rId78"/>
                              <a:stretch/>
                            </pic:blipFill>
                            <pic:spPr bwMode="auto">
                              <a:xfrm>
                                <a:off x="0" y="0"/>
                                <a:ext cx="429260" cy="429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33.8pt;height:33.8pt;mso-wrap-distance-left:0.0pt;mso-wrap-distance-top:0.0pt;mso-wrap-distance-right:0.0pt;mso-wrap-distance-bottom:0.0pt;" stroked="f">
                      <v:path textboxrect="0,0,0,0"/>
                      <v:imagedata r:id="rId78"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常规</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1.功能:床体升降前后倾斜,配备电动卷纸系统,10秒自动卷纸20秒自动卷纸按键控制松手即停，脚踏卷纸等多种过纸功能操控选择，使用方便。配置不锈钢推手方便床体推行移动。</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2.床框采用冷轧钢管，使用焊接机器人焊接，焊接质量，床体坚固，可承载≥240kg;</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3.床体采用抗菌粉末静电喷涂而成,具有环保、抗菌的作用。涂料对微生物大肠挨希氏菌和金黄色葡萄球菌均具有抗菌作用。</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4.床垫采用舒适高回弹记忆海绵，外面采用透气亲肤皮说革，面料厚重耐刮磨</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5.配置中125医用双面脚轮，高稳定性,刹车稳定方便，防水、防尘双轮饼设计以增加着地面积，增加稳定性。</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6.采用医用级电机，推力大，稳定性好。</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医用诊床</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762000" cy="429260"/>
                      <wp:effectExtent l="0" t="0" r="0" b="12700"/>
                      <wp:docPr id="73" name="图片 73" descr="IMG_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73" descr="IMG_328"/>
                              <pic:cNvPicPr>
                                <a:picLocks noChangeAspect="1"/>
                              </pic:cNvPicPr>
                              <pic:nvPr/>
                            </pic:nvPicPr>
                            <pic:blipFill>
                              <a:blip r:embed="rId79"/>
                              <a:stretch/>
                            </pic:blipFill>
                            <pic:spPr bwMode="auto">
                              <a:xfrm>
                                <a:off x="0" y="0"/>
                                <a:ext cx="762000" cy="429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60.0pt;height:33.8pt;mso-wrap-distance-left:0.0pt;mso-wrap-distance-top:0.0pt;mso-wrap-distance-right:0.0pt;mso-wrap-distance-bottom:0.0pt;" stroked="f">
                      <v:path textboxrect="0,0,0,0"/>
                      <v:imagedata r:id="rId79"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1900*600*650</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1.床腿床框采用40*40镀锌方管，壁厚1.2mm，床橧采用20*20方管，壁厚1.0mm。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2.床板采用密度板，内衬定型海绵，海绵符合GB/T10802-2006《通用软质聚醚型聚氨酯泡沫塑料》标准。</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3.表面采用西皮饰面</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医用病床（含床垫，餐桌，护栏）</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704850" cy="476250"/>
                      <wp:effectExtent l="0" t="0" r="11430" b="11430"/>
                      <wp:docPr id="74" name="图片 74" descr="IMG_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74" descr="IMG_329"/>
                              <pic:cNvPicPr>
                                <a:picLocks noChangeAspect="1"/>
                              </pic:cNvPicPr>
                              <pic:nvPr/>
                            </pic:nvPicPr>
                            <pic:blipFill>
                              <a:blip r:embed="rId80"/>
                              <a:stretch/>
                            </pic:blipFill>
                            <pic:spPr bwMode="auto">
                              <a:xfrm>
                                <a:off x="0" y="0"/>
                                <a:ext cx="704850" cy="476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55.5pt;height:37.5pt;mso-wrap-distance-left:0.0pt;mso-wrap-distance-top:0.0pt;mso-wrap-distance-right:0.0pt;mso-wrap-distance-bottom:0.0pt;" stroked="f">
                      <v:path textboxrect="0,0,0,0"/>
                      <v:imagedata r:id="rId80"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常规</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宋体" w:hAnsi="宋体"/>
                <w:b/>
                <w:bCs/>
                <w:sz w:val="24"/>
                <w:szCs w:val="21"/>
              </w:rPr>
              <w:t xml:space="preserve">*</w:t>
            </w:r>
            <w:r>
              <w:rPr>
                <w:rFonts w:hint="eastAsia" w:ascii="微软雅黑" w:hAnsi="微软雅黑" w:eastAsia="微软雅黑" w:cs="微软雅黑"/>
                <w:i w:val="0"/>
                <w:iCs w:val="0"/>
                <w:color w:val="000000"/>
                <w:sz w:val="22"/>
                <w:szCs w:val="22"/>
                <w:u w:val="none"/>
                <w:lang w:val="en-US" w:eastAsia="zh-CN" w:bidi="ar"/>
              </w:rPr>
              <w:t xml:space="preserve">1.床头、床尾采用抗冲击性、耐热性、耐低温性、耐化学药品性及电气性能优良的ABS高级工程塑料注塑而成，外形美观，装卸自如；</w:t>
            </w:r>
            <w:r>
              <w:rPr>
                <w:rFonts w:hint="eastAsia" w:ascii="微软雅黑" w:hAnsi="微软雅黑" w:eastAsia="微软雅黑" w:cs="微软雅黑"/>
                <w:i w:val="0"/>
                <w:iCs w:val="0"/>
                <w:color w:val="000000"/>
                <w:sz w:val="22"/>
                <w:szCs w:val="22"/>
                <w:u w:val="none"/>
                <w:lang w:val="en-US" w:eastAsia="zh-CN" w:bidi="ar"/>
              </w:rPr>
              <w:br/>
            </w:r>
            <w:r>
              <w:rPr>
                <w:rFonts w:hint="eastAsia" w:ascii="宋体" w:hAnsi="宋体"/>
                <w:b/>
                <w:bCs/>
                <w:sz w:val="24"/>
                <w:szCs w:val="21"/>
              </w:rPr>
              <w:t xml:space="preserve">*</w:t>
            </w:r>
            <w:r>
              <w:rPr>
                <w:rFonts w:hint="eastAsia" w:ascii="微软雅黑" w:hAnsi="微软雅黑" w:eastAsia="微软雅黑" w:cs="微软雅黑"/>
                <w:i w:val="0"/>
                <w:iCs w:val="0"/>
                <w:color w:val="000000"/>
                <w:sz w:val="22"/>
                <w:szCs w:val="22"/>
                <w:u w:val="none"/>
                <w:lang w:val="en-US" w:eastAsia="zh-CN" w:bidi="ar"/>
              </w:rPr>
              <w:t xml:space="preserve">2.床面采用冷轧钢板冲压成型，厚度1.2mm，凹型多气孔设计，便于透气并具有防滑功能。表面无焊点，背部有钢管加强筋，采用双支撑卸力结构，延长病床寿命。</w:t>
            </w:r>
            <w:r>
              <w:rPr>
                <w:rFonts w:hint="eastAsia" w:ascii="微软雅黑" w:hAnsi="微软雅黑" w:eastAsia="微软雅黑" w:cs="微软雅黑"/>
                <w:i w:val="0"/>
                <w:iCs w:val="0"/>
                <w:color w:val="000000"/>
                <w:sz w:val="22"/>
                <w:szCs w:val="22"/>
                <w:u w:val="none"/>
                <w:lang w:val="en-US" w:eastAsia="zh-CN" w:bidi="ar"/>
              </w:rPr>
              <w:br/>
            </w:r>
            <w:r>
              <w:rPr>
                <w:rFonts w:hint="eastAsia" w:ascii="宋体" w:hAnsi="宋体"/>
                <w:b/>
                <w:bCs/>
                <w:sz w:val="24"/>
                <w:szCs w:val="21"/>
              </w:rPr>
              <w:t xml:space="preserve">*</w:t>
            </w:r>
            <w:r>
              <w:rPr>
                <w:rFonts w:hint="eastAsia" w:ascii="微软雅黑" w:hAnsi="微软雅黑" w:eastAsia="微软雅黑" w:cs="微软雅黑"/>
                <w:i w:val="0"/>
                <w:iCs w:val="0"/>
                <w:color w:val="000000"/>
                <w:sz w:val="22"/>
                <w:szCs w:val="22"/>
                <w:u w:val="none"/>
                <w:lang w:val="en-US" w:eastAsia="zh-CN" w:bidi="ar"/>
              </w:rPr>
              <w:t xml:space="preserve">3.床腿采用50*50*1.2mm的成型方管焊接而成.先进机器人焊接工艺.，高精度焊接工艺保证焊接质量.床体坚固.床体最大承重280KG;</w:t>
            </w:r>
            <w:r>
              <w:rPr>
                <w:rFonts w:hint="eastAsia" w:ascii="微软雅黑" w:hAnsi="微软雅黑" w:eastAsia="微软雅黑" w:cs="微软雅黑"/>
                <w:i w:val="0"/>
                <w:iCs w:val="0"/>
                <w:color w:val="000000"/>
                <w:sz w:val="22"/>
                <w:szCs w:val="22"/>
                <w:u w:val="none"/>
                <w:lang w:val="en-US" w:eastAsia="zh-CN" w:bidi="ar"/>
              </w:rPr>
              <w:br/>
            </w:r>
            <w:r>
              <w:rPr>
                <w:rFonts w:hint="eastAsia" w:ascii="宋体" w:hAnsi="宋体"/>
                <w:b/>
                <w:bCs/>
                <w:sz w:val="24"/>
                <w:szCs w:val="21"/>
              </w:rPr>
              <w:t xml:space="preserve">*</w:t>
            </w:r>
            <w:r>
              <w:rPr>
                <w:rFonts w:hint="eastAsia" w:ascii="微软雅黑" w:hAnsi="微软雅黑" w:eastAsia="微软雅黑" w:cs="微软雅黑"/>
                <w:i w:val="0"/>
                <w:iCs w:val="0"/>
                <w:color w:val="000000"/>
                <w:sz w:val="22"/>
                <w:szCs w:val="22"/>
                <w:u w:val="none"/>
                <w:lang w:val="en-US" w:eastAsia="zh-CN" w:bidi="ar"/>
              </w:rPr>
              <w:t xml:space="preserve">4.整体床体采用酸洗、磷化、水洗、氧化渡膜等一系列工艺，全自动流水喷涂线，使用阿克苏粉末静电喷涂，色泽鲜亮，附着牢固，床面喷涂无脱落,粉末喷涂通过抗菌检测。</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5.护栏采用折叠式护栏，管材为铝合金材料，护栏立柱上下连接件为ABS塑料材质，坚固耐用，使用方便，护栏操作手柄具防夹手设计，不使用时可折叠放于床框上，操作方便。</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6.四轮采用125mm豪华静音脚轮，转动灵活，稳定性强，无噪音，方便移动，并能承受240Kg以上的重量，无变型和卡滞现象。</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7.配置不锈钢隐藏式摇把，可以隐藏于床体，避免不必要的伤害，方便护理人员操作，具有双向极限保护设置。丝杠采用20mm/40Cr材质，不变形，回旋体为锌合金压铸工艺，丝杠结合部采用铜棒加工制作的铜母，与丝杠密切咬合密切、有效地防止磨损、噪音小，寿命长</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功能：背起转折角度：0-80±5°   腿部转折角度：0-45±5°</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床头柜</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323850" cy="476250"/>
                      <wp:effectExtent l="0" t="0" r="11430" b="11430"/>
                      <wp:docPr id="75" name="图片 75" descr="IMG_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75" descr="IMG_330"/>
                              <pic:cNvPicPr>
                                <a:picLocks noChangeAspect="1"/>
                              </pic:cNvPicPr>
                              <pic:nvPr/>
                            </pic:nvPicPr>
                            <pic:blipFill>
                              <a:blip r:embed="rId81"/>
                              <a:stretch/>
                            </pic:blipFill>
                            <pic:spPr bwMode="auto">
                              <a:xfrm>
                                <a:off x="0" y="0"/>
                                <a:ext cx="323850" cy="476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25.5pt;height:37.5pt;mso-wrap-distance-left:0.0pt;mso-wrap-distance-top:0.0pt;mso-wrap-distance-right:0.0pt;mso-wrap-distance-bottom:0.0pt;" stroked="f">
                      <v:path textboxrect="0,0,0,0"/>
                      <v:imagedata r:id="rId81"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常规</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1.采用全新纯正工程塑料材料，加厚板材注塑成形</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2.柜身两侧带隐藏式毛巾架、拉板（托物板）、抽屉、储物柜等</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3.储物柜分层设计，方便储物，底部配有暖壶凹槽</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货架</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323850" cy="429260"/>
                      <wp:effectExtent l="0" t="0" r="11430" b="12700"/>
                      <wp:docPr id="76" name="图片 76" descr="IMG_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76" descr="IMG_331"/>
                              <pic:cNvPicPr>
                                <a:picLocks noChangeAspect="1"/>
                              </pic:cNvPicPr>
                              <pic:nvPr/>
                            </pic:nvPicPr>
                            <pic:blipFill>
                              <a:blip r:embed="rId82"/>
                              <a:stretch/>
                            </pic:blipFill>
                            <pic:spPr bwMode="auto">
                              <a:xfrm>
                                <a:off x="0" y="0"/>
                                <a:ext cx="323850" cy="429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25.5pt;height:33.8pt;mso-wrap-distance-left:0.0pt;mso-wrap-distance-top:0.0pt;mso-wrap-distance-right:0.0pt;mso-wrap-distance-bottom:0.0pt;" stroked="f">
                      <v:path textboxrect="0,0,0,0"/>
                      <v:imagedata r:id="rId82"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1100*500*2000</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1.柜体：采用品牌抗菌环保电解钢板，厚度≥1.0mm，表面接缝均满焊，焊接处均打磨平整以保持为连续的平滑表面具有耐酸碱腐蚀、光滑、不伤手等特点。</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2.喷涂：电解钢板表面采用室内环保型环氧树脂静电粉末喷涂，表面喷粉颜色靓丽，具有环保、抑菌、防锈、耐腐蚀、等技术特点，颜色满足院方要求。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3.工艺：采用先进加工工艺，保证产品的精度和外观标准，结构稳固，柜体背后板采用插接工艺，柜后板交接处折弯厚度达到4.0mm,宽度达到18mm，保证整个柜体的背板支撑强度</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货架</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323850" cy="429260"/>
                      <wp:effectExtent l="0" t="0" r="11430" b="12700"/>
                      <wp:docPr id="77" name="图片 77" descr="IMG_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77" descr="IMG_332"/>
                              <pic:cNvPicPr>
                                <a:picLocks noChangeAspect="1"/>
                              </pic:cNvPicPr>
                              <pic:nvPr/>
                            </pic:nvPicPr>
                            <pic:blipFill>
                              <a:blip r:embed="rId82"/>
                              <a:stretch/>
                            </pic:blipFill>
                            <pic:spPr bwMode="auto">
                              <a:xfrm>
                                <a:off x="0" y="0"/>
                                <a:ext cx="323850" cy="429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25.5pt;height:33.8pt;mso-wrap-distance-left:0.0pt;mso-wrap-distance-top:0.0pt;mso-wrap-distance-right:0.0pt;mso-wrap-distance-bottom:0.0pt;" stroked="f">
                      <v:path textboxrect="0,0,0,0"/>
                      <v:imagedata r:id="rId82"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1500*500*2000</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1.柜体：采用品牌抗菌环保电解钢板，厚度≥1.0mm，表面接缝均满焊，焊接处均打磨平整以保持为连续的平滑表面具有耐酸碱腐蚀、光滑、不伤手等特点。</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2.喷涂：电解钢板表面采用室内环保型环氧树脂静电粉末喷涂，表面喷粉颜色靓丽，具有环保、抑菌、防锈、耐腐蚀、等技术特点，颜色满足院方要求。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3.工艺：采用先进加工工艺，保证产品的精度和外观标准，结构稳固，柜体背后板采用插接工艺，柜后板交接处折弯厚度达到4.0mm,宽度达到18mm，保证整个柜体的背板支撑强度</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货架</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323850" cy="429260"/>
                      <wp:effectExtent l="0" t="0" r="11430" b="12700"/>
                      <wp:docPr id="78" name="图片 78" descr="IMG_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78" descr="IMG_333"/>
                              <pic:cNvPicPr>
                                <a:picLocks noChangeAspect="1"/>
                              </pic:cNvPicPr>
                              <pic:nvPr/>
                            </pic:nvPicPr>
                            <pic:blipFill>
                              <a:blip r:embed="rId82"/>
                              <a:stretch/>
                            </pic:blipFill>
                            <pic:spPr bwMode="auto">
                              <a:xfrm>
                                <a:off x="0" y="0"/>
                                <a:ext cx="323850" cy="429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25.5pt;height:33.8pt;mso-wrap-distance-left:0.0pt;mso-wrap-distance-top:0.0pt;mso-wrap-distance-right:0.0pt;mso-wrap-distance-bottom:0.0pt;" stroked="f">
                      <v:path textboxrect="0,0,0,0"/>
                      <v:imagedata r:id="rId82"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1800*500*2000</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1.柜体：采用品牌抗菌环保电解钢板，厚度≥1.0mm，表面接缝均满焊，焊接处均打磨平整以保持为连续的平滑表面具有耐酸碱腐蚀、光滑、不伤手等特点。</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2.喷涂：电解钢板表面采用室内环保型环氧树脂静电粉末喷涂，表面喷粉颜色靓丽，具有环保、抑菌、防锈、耐腐蚀、等技术特点，颜色满足院方要求。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3.工艺：采用先进加工工艺，保证产品的精度和外观标准，结构稳固，柜体背后板采用插接工艺，柜后板交接处折弯厚度达到4.0mm,宽度达到18mm，保证整个柜体的背板支撑强度</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无门药柜</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238125" cy="429260"/>
                      <wp:effectExtent l="0" t="0" r="5715" b="12700"/>
                      <wp:docPr id="79" name="图片 79" descr="IMG_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79" descr="IMG_334"/>
                              <pic:cNvPicPr>
                                <a:picLocks noChangeAspect="1"/>
                              </pic:cNvPicPr>
                              <pic:nvPr/>
                            </pic:nvPicPr>
                            <pic:blipFill>
                              <a:blip r:embed="rId83"/>
                              <a:stretch/>
                            </pic:blipFill>
                            <pic:spPr bwMode="auto">
                              <a:xfrm>
                                <a:off x="0" y="0"/>
                                <a:ext cx="238125" cy="429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18.8pt;height:33.8pt;mso-wrap-distance-left:0.0pt;mso-wrap-distance-top:0.0pt;mso-wrap-distance-right:0.0pt;mso-wrap-distance-bottom:0.0pt;" stroked="f">
                      <v:path textboxrect="0,0,0,0"/>
                      <v:imagedata r:id="rId83"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L*450*1800</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延米</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39.6</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1.柜体：采用品牌抗菌环保电解钢板，厚度≥1.0mm，柜体重量≥58kg,表面接缝均满焊，焊接处均打磨平整以保持为连续的平滑表面具有耐酸碱腐蚀、光滑、不伤手等特点。</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2.喷涂：电解钢板表面采用室内环保型环氧树脂静电粉末喷涂，表面喷粉颜色靓丽，具有环保、抑菌、防锈、耐腐蚀、等技术特点，颜色满足院方要求。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3.工艺：采用先进加工工艺，保证产品的精度和外观标准，结构稳固，柜体背后板采用插接工艺，柜后板交接处折弯厚度达到4.0mm,宽度达到18mm，保证整个柜体的背板支撑强度</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地架</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895350" cy="429260"/>
                      <wp:effectExtent l="0" t="0" r="3810" b="12700"/>
                      <wp:docPr id="80" name="图片 80" descr="IMG_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80" descr="IMG_335"/>
                              <pic:cNvPicPr>
                                <a:picLocks noChangeAspect="1"/>
                              </pic:cNvPicPr>
                              <pic:nvPr/>
                            </pic:nvPicPr>
                            <pic:blipFill>
                              <a:blip r:embed="rId84"/>
                              <a:stretch/>
                            </pic:blipFill>
                            <pic:spPr bwMode="auto">
                              <a:xfrm>
                                <a:off x="0" y="0"/>
                                <a:ext cx="895350" cy="429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70.5pt;height:33.8pt;mso-wrap-distance-left:0.0pt;mso-wrap-distance-top:0.0pt;mso-wrap-distance-right:0.0pt;mso-wrap-distance-bottom:0.0pt;" stroked="f">
                      <v:path textboxrect="0,0,0,0"/>
                      <v:imagedata r:id="rId84"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1000*800*140</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选用高密度聚乙烯HDPE，经挤出一次吹塑成型，成型过程快速，充分，产品成型饱满，内在质量和性能稳定。</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护士站站体（全高台）</w:t>
            </w:r>
            <w:r/>
          </w:p>
        </w:tc>
        <w:tc>
          <w:tcPr>
            <w:tcBorders>
              <w:top w:val="single" w:color="000000" w:sz="4" w:space="0"/>
              <w:left w:val="single" w:color="000000" w:sz="4" w:space="0"/>
              <w:bottom w:val="single" w:color="000000" w:sz="4" w:space="0"/>
              <w:right w:val="single" w:color="000000" w:sz="4" w:space="0"/>
            </w:tcBorders>
            <w:tcW w:w="1872" w:type="dxa"/>
            <w:vAlign w:val="center"/>
            <w:vMerge w:val="restart"/>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114425" cy="714375"/>
                      <wp:effectExtent l="0" t="0" r="13335" b="1905"/>
                      <wp:docPr id="81" name="图片 81" descr="IMG_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81" descr="IMG_336"/>
                              <pic:cNvPicPr>
                                <a:picLocks noChangeAspect="1"/>
                              </pic:cNvPicPr>
                              <pic:nvPr/>
                            </pic:nvPicPr>
                            <pic:blipFill>
                              <a:blip r:embed="rId85"/>
                              <a:stretch/>
                            </pic:blipFill>
                            <pic:spPr bwMode="auto">
                              <a:xfrm>
                                <a:off x="0" y="0"/>
                                <a:ext cx="1114425" cy="714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87.8pt;height:56.2pt;mso-wrap-distance-left:0.0pt;mso-wrap-distance-top:0.0pt;mso-wrap-distance-right:0.0pt;mso-wrap-distance-bottom:0.0pt;" stroked="f">
                      <v:path textboxrect="0,0,0,0"/>
                      <v:imagedata r:id="rId85"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L*700*1200</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延米</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2736" w:type="dxa"/>
            <w:vAlign w:val="center"/>
            <w:vMerge w:val="restart"/>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主体：采用E1级中密度纤维板，厚度≥18mm，结构稳固，表面采用钢琴烤漆工艺，漆面达到镜面效果，致密性高，稳定性强，色彩饱满丰富、历久常新，表面质感细腻、光洁、平整，无滴挂、气泡、针孔、起鼓等现象，具有防火、防污、耐磨等特点。</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2.采用品牌水性油漆，色彩多样，具有环保、防腐、防水、耐化学品、耐光、耐温等特点。</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3.锁具：采用国产品牌锁具，锁定到位，开启灵活，表面常规镀光亮铬处理。制作工艺精湛，外观漂亮。符合GB/T 10125-2021《人造气氛腐蚀试验   盐雾试验》；QB/T3832-1999《轻工产品金属镀层腐蚀试验结果的评价》GB/T35607-2017《绿色产品评价家具》标准。</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4.导轨：抽拉自如，抽屉内能放置30kg负载重量，开关顺滑，双叠全拉带定位结构，防止滑出，静音效果好，使用寿命长。</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5.铰链，</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6.不锈钢踢脚线：采用SUS304不锈钢踢脚线，厚度≥1.0mm，易消毒不生锈，操作时无抵脚感，符合人体工程学原理。符合QB/T 4767-2014《家具用钢构件》标准。</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7.工艺：采用先进加工工艺，保证产品的精度和外观标准，结构稳固。</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单开单抽柜</w:t>
            </w:r>
            <w:r/>
          </w:p>
        </w:tc>
        <w:tc>
          <w:tcPr>
            <w:tcBorders>
              <w:top w:val="single" w:color="000000" w:sz="4" w:space="0"/>
              <w:left w:val="single" w:color="000000" w:sz="4" w:space="0"/>
              <w:bottom w:val="single" w:color="000000" w:sz="4" w:space="0"/>
              <w:right w:val="single" w:color="000000" w:sz="4" w:space="0"/>
            </w:tcBorders>
            <w:tcW w:w="1872" w:type="dxa"/>
            <w:vAlign w:val="center"/>
            <w:vMerge w:val="continue"/>
            <w:textDirection w:val="lrTb"/>
            <w:noWrap/>
          </w:tcPr>
          <w:p>
            <w:pPr>
              <w:ind w:left="0" w:right="0" w:firstLine="0"/>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400*450*700</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736" w:type="dxa"/>
            <w:vAlign w:val="center"/>
            <w:vMerge w:val="continue"/>
            <w:textDirection w:val="lrTb"/>
            <w:noWrap w:val="false"/>
          </w:tcPr>
          <w:p>
            <w:pPr>
              <w:ind w:left="0" w:right="0" w:firstLine="0"/>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主机柜</w:t>
            </w:r>
            <w:r/>
          </w:p>
        </w:tc>
        <w:tc>
          <w:tcPr>
            <w:tcBorders>
              <w:top w:val="single" w:color="000000" w:sz="4" w:space="0"/>
              <w:left w:val="single" w:color="000000" w:sz="4" w:space="0"/>
              <w:bottom w:val="single" w:color="000000" w:sz="4" w:space="0"/>
              <w:right w:val="single" w:color="000000" w:sz="4" w:space="0"/>
            </w:tcBorders>
            <w:tcW w:w="1872" w:type="dxa"/>
            <w:vAlign w:val="center"/>
            <w:vMerge w:val="continue"/>
            <w:textDirection w:val="lrTb"/>
            <w:noWrap/>
          </w:tcPr>
          <w:p>
            <w:pPr>
              <w:ind w:left="0" w:right="0" w:firstLine="0"/>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300*450*700</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736" w:type="dxa"/>
            <w:vAlign w:val="center"/>
            <w:vMerge w:val="continue"/>
            <w:textDirection w:val="lrTb"/>
            <w:noWrap w:val="false"/>
          </w:tcPr>
          <w:p>
            <w:pPr>
              <w:ind w:left="0" w:right="0" w:firstLine="0"/>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医用环保治疗柜</w:t>
            </w:r>
            <w:r/>
          </w:p>
        </w:tc>
        <w:tc>
          <w:tcPr>
            <w:tcBorders>
              <w:top w:val="single" w:color="000000" w:sz="4" w:space="0"/>
              <w:left w:val="single" w:color="000000" w:sz="4" w:space="0"/>
              <w:bottom w:val="single" w:color="000000" w:sz="4" w:space="0"/>
              <w:right w:val="single" w:color="000000" w:sz="4" w:space="0"/>
            </w:tcBorders>
            <w:tcW w:w="1872" w:type="dxa"/>
            <w:vAlign w:val="center"/>
            <w:vMerge w:val="restart"/>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343025" cy="952500"/>
                      <wp:effectExtent l="0" t="0" r="13335" b="7620"/>
                      <wp:docPr id="82" name="图片 82" descr="IMG_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82" descr="IMG_337"/>
                              <pic:cNvPicPr>
                                <a:picLocks noChangeAspect="1"/>
                              </pic:cNvPicPr>
                              <pic:nvPr/>
                            </pic:nvPicPr>
                            <pic:blipFill>
                              <a:blip r:embed="rId86"/>
                              <a:stretch/>
                            </pic:blipFill>
                            <pic:spPr bwMode="auto">
                              <a:xfrm>
                                <a:off x="0" y="0"/>
                                <a:ext cx="1343025" cy="952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105.8pt;height:75.0pt;mso-wrap-distance-left:0.0pt;mso-wrap-distance-top:0.0pt;mso-wrap-distance-right:0.0pt;mso-wrap-distance-bottom:0.0pt;" stroked="f">
                      <v:path textboxrect="0,0,0,0"/>
                      <v:imagedata r:id="rId86"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L*580*838</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延米</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11.25</w:t>
            </w:r>
            <w:r/>
          </w:p>
        </w:tc>
        <w:tc>
          <w:tcPr>
            <w:tcBorders>
              <w:top w:val="single" w:color="000000" w:sz="4" w:space="0"/>
              <w:left w:val="single" w:color="000000" w:sz="4" w:space="0"/>
              <w:bottom w:val="single" w:color="000000" w:sz="4" w:space="0"/>
              <w:right w:val="single" w:color="000000" w:sz="4" w:space="0"/>
            </w:tcBorders>
            <w:tcW w:w="2736" w:type="dxa"/>
            <w:vAlign w:val="center"/>
            <w:vMerge w:val="restart"/>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1.柜体：采用品牌环保抗菌双面电解钢板，厚度≥1.0mm，表面接缝焊接处应无脱焊、虚焊、焊穿、错位、无夹渣、气孔、焊瘤、焊丝头、咬边、飞溅，表面波纹应均匀，具有耐腐蚀、光滑、不伤手等特点；</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2.喷涂：电解钢板表面采用室内环保型环氧树脂静电粉末喷涂，表面喷粉颜色靓丽，具有环保、抑菌、防锈、耐腐蚀、等技术特点，颜色满足院方要求。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3.台面：采用品牌医用复合亚克力人造石制作，色泽一致，无明显色差。台面光滑平整、无波纹、方料痕、刮痕、裂纹。表面耐磨、耐热性、耐污染性、耐化学药品性，符合医院高标准的环境卫生要求。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4.锁具：采用国产品牌锁具，锁定到位，开启灵活，表面常规镀光亮铬处理。制作工艺精湛，外观漂亮。</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5.导轨：抽拉自如，抽屉内能放置30kg负载重量，开关顺滑，双叠全拉带定位结构，防止滑出，静音效果好，使用寿命长。</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6.铰链</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7.水槽，感应龙头，亚克力挡水板5套</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8.不锈钢踢脚线：采用SUS304不锈钢踢脚线，厚度≥1.0mm，易消毒不生锈，操作时无抵脚感，符合人体工程学原理。</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9.工艺：采用先进加工工艺，保证产品的精度和外观标准，结构稳固，柜体背后板采用插接工艺，柜后板交接处折弯厚度达到4.0mm,宽度达到18mm，保证整个柜体的背板支撑强度</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复合亚克力人造石台面</w:t>
            </w:r>
            <w:r/>
          </w:p>
        </w:tc>
        <w:tc>
          <w:tcPr>
            <w:tcBorders>
              <w:top w:val="single" w:color="000000" w:sz="4" w:space="0"/>
              <w:left w:val="single" w:color="000000" w:sz="4" w:space="0"/>
              <w:bottom w:val="single" w:color="000000" w:sz="4" w:space="0"/>
              <w:right w:val="single" w:color="000000" w:sz="4" w:space="0"/>
            </w:tcBorders>
            <w:tcW w:w="1872" w:type="dxa"/>
            <w:vAlign w:val="center"/>
            <w:vMerge w:val="continue"/>
            <w:textDirection w:val="lrTb"/>
            <w:noWrap/>
          </w:tcPr>
          <w:p>
            <w:pPr>
              <w:ind w:left="0" w:right="0" w:firstLine="0"/>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L*600*12</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延米</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11.25</w:t>
            </w:r>
            <w:r/>
          </w:p>
        </w:tc>
        <w:tc>
          <w:tcPr>
            <w:tcBorders>
              <w:top w:val="single" w:color="000000" w:sz="4" w:space="0"/>
              <w:left w:val="single" w:color="000000" w:sz="4" w:space="0"/>
              <w:bottom w:val="single" w:color="000000" w:sz="4" w:space="0"/>
              <w:right w:val="single" w:color="000000" w:sz="4" w:space="0"/>
            </w:tcBorders>
            <w:tcW w:w="2736" w:type="dxa"/>
            <w:vAlign w:val="center"/>
            <w:vMerge w:val="continue"/>
            <w:textDirection w:val="lrTb"/>
            <w:noWrap w:val="false"/>
          </w:tcPr>
          <w:p>
            <w:pPr>
              <w:ind w:left="0" w:right="0" w:firstLine="0"/>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医用环保治疗柜</w:t>
            </w:r>
            <w:r/>
          </w:p>
        </w:tc>
        <w:tc>
          <w:tcPr>
            <w:tcBorders>
              <w:top w:val="single" w:color="000000" w:sz="4" w:space="0"/>
              <w:left w:val="single" w:color="000000" w:sz="4" w:space="0"/>
              <w:bottom w:val="single" w:color="000000" w:sz="4" w:space="0"/>
              <w:right w:val="single" w:color="000000" w:sz="4" w:space="0"/>
            </w:tcBorders>
            <w:tcW w:w="1872" w:type="dxa"/>
            <w:vAlign w:val="center"/>
            <w:vMerge w:val="restart"/>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514475" cy="676275"/>
                      <wp:effectExtent l="0" t="0" r="9525" b="9525"/>
                      <wp:docPr id="83" name="图片 83" descr="IMG_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83" descr="IMG_338"/>
                              <pic:cNvPicPr>
                                <a:picLocks noChangeAspect="1"/>
                              </pic:cNvPicPr>
                              <pic:nvPr/>
                            </pic:nvPicPr>
                            <pic:blipFill>
                              <a:blip r:embed="rId87"/>
                              <a:stretch/>
                            </pic:blipFill>
                            <pic:spPr bwMode="auto">
                              <a:xfrm>
                                <a:off x="0" y="0"/>
                                <a:ext cx="1514475" cy="676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119.2pt;height:53.2pt;mso-wrap-distance-left:0.0pt;mso-wrap-distance-top:0.0pt;mso-wrap-distance-right:0.0pt;mso-wrap-distance-bottom:0.0pt;" stroked="f">
                      <v:path textboxrect="0,0,0,0"/>
                      <v:imagedata r:id="rId87"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L*580*838</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延米</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11.3</w:t>
            </w:r>
            <w:r/>
          </w:p>
        </w:tc>
        <w:tc>
          <w:tcPr>
            <w:tcBorders>
              <w:top w:val="single" w:color="000000" w:sz="4" w:space="0"/>
              <w:left w:val="single" w:color="000000" w:sz="4" w:space="0"/>
              <w:bottom w:val="single" w:color="000000" w:sz="4" w:space="0"/>
              <w:right w:val="single" w:color="000000" w:sz="4" w:space="0"/>
            </w:tcBorders>
            <w:tcW w:w="2736" w:type="dxa"/>
            <w:vAlign w:val="center"/>
            <w:vMerge w:val="restart"/>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1.柜体：采用品牌环保抗菌双面电解钢板，厚度≥1.0mm，表面接缝焊接处应无脱焊、虚焊、焊穿、错位、无夹渣、气孔、焊瘤、焊丝头、咬边、飞溅，表面波纹应均匀，具有耐腐蚀、光滑、不伤手等特点；</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2.喷涂：电解钢板表面采用室内环保型环氧树脂静电粉末喷涂，表面喷粉颜色靓丽，具有环保、抑菌、防锈、耐腐蚀、等技术特点，颜色满足院方要求。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3.台面：采用品牌医用复合亚克力人造石制作，色泽一致，无明显色差。台面光滑平整、无波纹、方料痕、刮痕、裂纹。表面耐磨、耐热性、耐污染性、耐化学药品性，符合医院高标准的环境卫生要求。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4.锁具：采用国产品牌锁具，锁定到位，开启灵活，表面常规镀光亮铬处理。制作工艺精湛，外观漂亮。</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5.导轨：抽拉自如，抽屉内能放置30kg负载重量，开关顺滑，双叠全拉带定位结构，防止滑出，静音效果好，使用寿命长。</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6.铰链</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7.水槽，感应龙头，亚克力挡水板8套</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8.不锈钢踢脚线：采用SUS304不锈钢踢脚线，厚度≥1.0mm，易消毒不生锈，操作时无抵脚感，符合人体工程学原理。</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9.工艺：采用先进加工工艺，保证产品的精度和外观标准，结构稳固，柜体背后板采用插接工艺，柜后板交接处折弯厚度达到4.0mm,宽度达到18mm，保证整个柜体的背板支撑强度</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10、处置柜外观优势：外观采用注塑+皮纹工艺，具有防滑易使用的优势，超薄设计使垃圾盖紧贴台面，避免物体与垃圾盖产生碰撞，投递口加深设计可避免垃圾掉落到柜体内；</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配置优势：垃圾盖内部配备隐藏式紫外线消毒系统，盖体打开时，消毒灯处于停止状态，盖体关闭后消毒灯开始工作对废物表面及空气中的微生物进行灭活，降低环境污染风险。</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力学性能优异：兼具刚性（硬度高，抗变形）和韧性（耐冲击，掉落不易碎裂）ABS材质硬度高、韧性强，抗冲击不易碎裂，长期使用不易变形，材质与工艺双重保障，使用寿命是普通塑料盖的3~5倍</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处置柜</w:t>
            </w:r>
            <w:r/>
          </w:p>
        </w:tc>
        <w:tc>
          <w:tcPr>
            <w:tcBorders>
              <w:top w:val="single" w:color="000000" w:sz="4" w:space="0"/>
              <w:left w:val="single" w:color="000000" w:sz="4" w:space="0"/>
              <w:bottom w:val="single" w:color="000000" w:sz="4" w:space="0"/>
              <w:right w:val="single" w:color="000000" w:sz="4" w:space="0"/>
            </w:tcBorders>
            <w:tcW w:w="1872" w:type="dxa"/>
            <w:vAlign w:val="center"/>
            <w:vMerge w:val="continue"/>
            <w:textDirection w:val="lrTb"/>
            <w:noWrap/>
          </w:tcPr>
          <w:p>
            <w:pPr>
              <w:ind w:left="0" w:right="0" w:firstLine="0"/>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L*580*838</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延米</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736" w:type="dxa"/>
            <w:vAlign w:val="center"/>
            <w:vMerge w:val="continue"/>
            <w:textDirection w:val="lrTb"/>
            <w:noWrap w:val="false"/>
          </w:tcPr>
          <w:p>
            <w:pPr>
              <w:ind w:left="0" w:right="0" w:firstLine="0"/>
              <w:jc w:val="lef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复合亚克力人造石台面</w:t>
            </w:r>
            <w:r/>
          </w:p>
        </w:tc>
        <w:tc>
          <w:tcPr>
            <w:tcBorders>
              <w:top w:val="single" w:color="000000" w:sz="4" w:space="0"/>
              <w:left w:val="single" w:color="000000" w:sz="4" w:space="0"/>
              <w:bottom w:val="single" w:color="000000" w:sz="4" w:space="0"/>
              <w:right w:val="single" w:color="000000" w:sz="4" w:space="0"/>
            </w:tcBorders>
            <w:tcW w:w="1872" w:type="dxa"/>
            <w:vAlign w:val="center"/>
            <w:vMerge w:val="continue"/>
            <w:textDirection w:val="lrTb"/>
            <w:noWrap/>
          </w:tcPr>
          <w:p>
            <w:pPr>
              <w:ind w:left="0" w:right="0" w:firstLine="0"/>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L*600*12</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延米</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15.1</w:t>
            </w:r>
            <w:r/>
          </w:p>
        </w:tc>
        <w:tc>
          <w:tcPr>
            <w:tcBorders>
              <w:top w:val="single" w:color="000000" w:sz="4" w:space="0"/>
              <w:left w:val="single" w:color="000000" w:sz="4" w:space="0"/>
              <w:bottom w:val="single" w:color="000000" w:sz="4" w:space="0"/>
              <w:right w:val="single" w:color="000000" w:sz="4" w:space="0"/>
            </w:tcBorders>
            <w:tcW w:w="2736" w:type="dxa"/>
            <w:vAlign w:val="center"/>
            <w:vMerge w:val="continue"/>
            <w:textDirection w:val="lrTb"/>
            <w:noWrap w:val="false"/>
          </w:tcPr>
          <w:p>
            <w:pPr>
              <w:ind w:left="0" w:right="0" w:firstLine="0"/>
              <w:jc w:val="lef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医用环保治疗柜</w:t>
            </w:r>
            <w:r/>
          </w:p>
        </w:tc>
        <w:tc>
          <w:tcPr>
            <w:tcBorders>
              <w:top w:val="single" w:color="000000" w:sz="4" w:space="0"/>
              <w:left w:val="single" w:color="000000" w:sz="4" w:space="0"/>
              <w:bottom w:val="single" w:color="000000" w:sz="4" w:space="0"/>
              <w:right w:val="single" w:color="000000" w:sz="4" w:space="0"/>
            </w:tcBorders>
            <w:tcW w:w="1872" w:type="dxa"/>
            <w:vAlign w:val="center"/>
            <w:vMerge w:val="restart"/>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800100"/>
                      <wp:effectExtent l="0" t="0" r="11430" b="7620"/>
                      <wp:docPr id="84" name="图片 84" descr="IMG_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84" descr="IMG_339"/>
                              <pic:cNvPicPr>
                                <a:picLocks noChangeAspect="1"/>
                              </pic:cNvPicPr>
                              <pic:nvPr/>
                            </pic:nvPicPr>
                            <pic:blipFill>
                              <a:blip r:embed="rId88"/>
                              <a:stretch/>
                            </pic:blipFill>
                            <pic:spPr bwMode="auto">
                              <a:xfrm>
                                <a:off x="0" y="0"/>
                                <a:ext cx="933450" cy="800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73.5pt;height:63.0pt;mso-wrap-distance-left:0.0pt;mso-wrap-distance-top:0.0pt;mso-wrap-distance-right:0.0pt;mso-wrap-distance-bottom:0.0pt;" stroked="f">
                      <v:path textboxrect="0,0,0,0"/>
                      <v:imagedata r:id="rId88"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L*580*838</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延米</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2736" w:type="dxa"/>
            <w:vAlign w:val="center"/>
            <w:vMerge w:val="restart"/>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1.柜体：采用品牌环保抗菌双面电解钢板，厚度≥1.0mm，表面接缝焊接处应无脱焊、虚焊、焊穿、错位、无夹渣、气孔、焊瘤、焊丝头、咬边、飞溅，表面波纹应均匀，具有耐腐蚀、光滑、不伤手等特点；</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2.喷涂：电解钢板表面采用室内环保型环氧树脂静电粉末喷涂，表面喷粉颜色靓丽，具有环保、抑菌、防锈、耐腐蚀、等技术特点，颜色满足院方要求。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3.台面：采用品牌医用复合亚克力人造石制作，色泽一致，无明显色差。台面光滑平整、无波纹、方料痕、刮痕、裂纹。表面耐磨、耐热性、耐污染性、耐化学药品性，符合医院高标准的环境卫生要求。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4.锁具：采用国产品牌锁具，锁定到位，开启灵活，表面常规镀光亮铬处理。制作工艺精湛，外观漂亮。</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5.导轨：抽拉自如，抽屉内能放置30kg负载重量，开关顺滑，双叠全拉带定位结构，防止滑出，静音效果好，使用寿命长。</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6.铰链，</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7.不锈钢踢脚线：采用SUS304不锈钢踢脚线，厚度≥1.0mm，易消毒不生锈，操作时无抵脚感，符合人体工程学原理。</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8.工艺：采用先进加工工艺，保证产品的精度和外观标准，结构稳固，柜体背后板采用插接工艺，柜后板交接处折弯厚度达到4.0mm,宽度达到18mm，保证整个柜体的背板支撑强度</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复合亚克力人造石台面</w:t>
            </w:r>
            <w:r/>
          </w:p>
        </w:tc>
        <w:tc>
          <w:tcPr>
            <w:tcBorders>
              <w:top w:val="single" w:color="000000" w:sz="4" w:space="0"/>
              <w:left w:val="single" w:color="000000" w:sz="4" w:space="0"/>
              <w:bottom w:val="single" w:color="000000" w:sz="4" w:space="0"/>
              <w:right w:val="single" w:color="000000" w:sz="4" w:space="0"/>
            </w:tcBorders>
            <w:tcW w:w="1872" w:type="dxa"/>
            <w:vAlign w:val="center"/>
            <w:vMerge w:val="continue"/>
            <w:textDirection w:val="lrTb"/>
            <w:noWrap/>
          </w:tcPr>
          <w:p>
            <w:pPr>
              <w:ind w:left="0" w:right="0" w:firstLine="0"/>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L*600*12</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延米</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2736" w:type="dxa"/>
            <w:vAlign w:val="center"/>
            <w:vMerge w:val="continue"/>
            <w:textDirection w:val="lrTb"/>
            <w:noWrap w:val="false"/>
          </w:tcPr>
          <w:p>
            <w:pPr>
              <w:ind w:left="0" w:right="0" w:firstLine="0"/>
              <w:jc w:val="lef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无菌物品顶柜</w:t>
            </w:r>
            <w:r/>
          </w:p>
        </w:tc>
        <w:tc>
          <w:tcPr>
            <w:tcBorders>
              <w:top w:val="single" w:color="000000" w:sz="4" w:space="0"/>
              <w:left w:val="single" w:color="000000" w:sz="4" w:space="0"/>
              <w:bottom w:val="single" w:color="000000" w:sz="4" w:space="0"/>
              <w:right w:val="single" w:color="000000" w:sz="4" w:space="0"/>
            </w:tcBorders>
            <w:tcW w:w="1872" w:type="dxa"/>
            <w:vAlign w:val="center"/>
            <w:vMerge w:val="restart"/>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114425" cy="695325"/>
                      <wp:effectExtent l="0" t="0" r="13335" b="5715"/>
                      <wp:docPr id="85" name="图片 85" descr="IMG_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85" descr="IMG_340"/>
                              <pic:cNvPicPr>
                                <a:picLocks noChangeAspect="1"/>
                              </pic:cNvPicPr>
                              <pic:nvPr/>
                            </pic:nvPicPr>
                            <pic:blipFill>
                              <a:blip r:embed="rId89"/>
                              <a:stretch/>
                            </pic:blipFill>
                            <pic:spPr bwMode="auto">
                              <a:xfrm>
                                <a:off x="0" y="0"/>
                                <a:ext cx="1114425"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87.8pt;height:54.8pt;mso-wrap-distance-left:0.0pt;mso-wrap-distance-top:0.0pt;mso-wrap-distance-right:0.0pt;mso-wrap-distance-bottom:0.0pt;" stroked="f">
                      <v:path textboxrect="0,0,0,0"/>
                      <v:imagedata r:id="rId89"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L*350*600</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延米</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12.9</w:t>
            </w:r>
            <w:r/>
          </w:p>
        </w:tc>
        <w:tc>
          <w:tcPr>
            <w:tcBorders>
              <w:top w:val="single" w:color="000000" w:sz="4" w:space="0"/>
              <w:left w:val="single" w:color="000000" w:sz="4" w:space="0"/>
              <w:bottom w:val="single" w:color="000000" w:sz="4" w:space="0"/>
              <w:right w:val="single" w:color="000000" w:sz="4" w:space="0"/>
            </w:tcBorders>
            <w:tcW w:w="2736" w:type="dxa"/>
            <w:vAlign w:val="center"/>
            <w:vMerge w:val="restart"/>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1.柜体：采用品牌环保抗菌双面电解钢板，厚度≥1.0mm，表面接缝焊接处应无脱焊、虚焊、焊穿、错位、无夹渣、气孔、焊瘤、焊丝头、咬边、飞溅，表面波纹应均匀，具有耐腐蚀、光滑、不伤手等特点；</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2.喷涂：电解钢板表面采用室内环保型环氧树脂静电粉末喷涂，表面喷粉颜色靓丽，具有环保、抑菌、防锈、耐腐蚀、等技术特点，颜色满足院方要求。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3.台面：采用品牌医用复合亚克力人造石制作，色泽一致，无明显色差。台面光滑平整、无波纹、方料痕、刮痕、裂纹。表面耐磨、耐热性、耐污染性、耐化学药品性，符合医院高标准的环境卫生要求。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4.锁具：采用国产品牌锁具，锁定到位，开启灵活，表面常规镀光亮铬处理。制作工艺精湛，外观漂亮。</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5.导轨：抽拉自如，抽屉内能放置30kg负载重量，开关顺滑，双叠全拉带定位结构，防止滑出，静音效果好，使用寿命长。</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6.铰链</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7.水槽，感应龙头，亚克力挡水板3套</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8.不锈钢踢脚线：采用SUS304不锈钢踢脚线，厚度≥1.0mm，易消毒不生锈，操作时无抵脚感，符合人体工程学原理。</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9.工艺：采用先进加工工艺，保证产品的精度和外观标准，结构稳固，柜体背后板采用插接工艺，柜后板交接处折弯厚度达到4.0mm,宽度达到18mm，保证整个柜体的背板支撑强度</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无菌物品上柜</w:t>
            </w:r>
            <w:r/>
          </w:p>
        </w:tc>
        <w:tc>
          <w:tcPr>
            <w:tcBorders>
              <w:top w:val="single" w:color="000000" w:sz="4" w:space="0"/>
              <w:left w:val="single" w:color="000000" w:sz="4" w:space="0"/>
              <w:bottom w:val="single" w:color="000000" w:sz="4" w:space="0"/>
              <w:right w:val="single" w:color="000000" w:sz="4" w:space="0"/>
            </w:tcBorders>
            <w:tcW w:w="1872" w:type="dxa"/>
            <w:vAlign w:val="center"/>
            <w:vMerge w:val="continue"/>
            <w:textDirection w:val="lrTb"/>
            <w:noWrap/>
          </w:tcPr>
          <w:p>
            <w:pPr>
              <w:ind w:left="0" w:right="0" w:firstLine="0"/>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L*350*600</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延米</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10.2</w:t>
            </w:r>
            <w:r/>
          </w:p>
        </w:tc>
        <w:tc>
          <w:tcPr>
            <w:tcBorders>
              <w:top w:val="single" w:color="000000" w:sz="4" w:space="0"/>
              <w:left w:val="single" w:color="000000" w:sz="4" w:space="0"/>
              <w:bottom w:val="single" w:color="000000" w:sz="4" w:space="0"/>
              <w:right w:val="single" w:color="000000" w:sz="4" w:space="0"/>
            </w:tcBorders>
            <w:tcW w:w="2736" w:type="dxa"/>
            <w:vAlign w:val="center"/>
            <w:vMerge w:val="continue"/>
            <w:textDirection w:val="lrTb"/>
            <w:noWrap w:val="false"/>
          </w:tcPr>
          <w:p>
            <w:pPr>
              <w:ind w:left="0" w:right="0" w:firstLine="0"/>
              <w:jc w:val="lef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93</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针筒柜</w:t>
            </w:r>
            <w:r/>
          </w:p>
        </w:tc>
        <w:tc>
          <w:tcPr>
            <w:tcBorders>
              <w:top w:val="single" w:color="000000" w:sz="4" w:space="0"/>
              <w:left w:val="single" w:color="000000" w:sz="4" w:space="0"/>
              <w:bottom w:val="single" w:color="000000" w:sz="4" w:space="0"/>
              <w:right w:val="single" w:color="000000" w:sz="4" w:space="0"/>
            </w:tcBorders>
            <w:tcW w:w="1872" w:type="dxa"/>
            <w:vAlign w:val="center"/>
            <w:vMerge w:val="continue"/>
            <w:textDirection w:val="lrTb"/>
            <w:noWrap/>
          </w:tcPr>
          <w:p>
            <w:pPr>
              <w:ind w:left="0" w:right="0" w:firstLine="0"/>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L*350*600</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延米</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2736" w:type="dxa"/>
            <w:vAlign w:val="center"/>
            <w:vMerge w:val="continue"/>
            <w:textDirection w:val="lrTb"/>
            <w:noWrap w:val="false"/>
          </w:tcPr>
          <w:p>
            <w:pPr>
              <w:ind w:left="0" w:right="0" w:firstLine="0"/>
              <w:jc w:val="lef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94</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背架</w:t>
            </w:r>
            <w:r/>
          </w:p>
        </w:tc>
        <w:tc>
          <w:tcPr>
            <w:tcBorders>
              <w:top w:val="single" w:color="000000" w:sz="4" w:space="0"/>
              <w:left w:val="single" w:color="000000" w:sz="4" w:space="0"/>
              <w:bottom w:val="single" w:color="000000" w:sz="4" w:space="0"/>
              <w:right w:val="single" w:color="000000" w:sz="4" w:space="0"/>
            </w:tcBorders>
            <w:tcW w:w="1872" w:type="dxa"/>
            <w:vAlign w:val="center"/>
            <w:vMerge w:val="continue"/>
            <w:textDirection w:val="lrTb"/>
            <w:noWrap/>
          </w:tcPr>
          <w:p>
            <w:pPr>
              <w:ind w:left="0" w:right="0" w:firstLine="0"/>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L*40*2600</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延米</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12.9</w:t>
            </w:r>
            <w:r/>
          </w:p>
        </w:tc>
        <w:tc>
          <w:tcPr>
            <w:tcBorders>
              <w:top w:val="single" w:color="000000" w:sz="4" w:space="0"/>
              <w:left w:val="single" w:color="000000" w:sz="4" w:space="0"/>
              <w:bottom w:val="single" w:color="000000" w:sz="4" w:space="0"/>
              <w:right w:val="single" w:color="000000" w:sz="4" w:space="0"/>
            </w:tcBorders>
            <w:tcW w:w="2736" w:type="dxa"/>
            <w:vAlign w:val="center"/>
            <w:vMerge w:val="continue"/>
            <w:textDirection w:val="lrTb"/>
            <w:noWrap w:val="false"/>
          </w:tcPr>
          <w:p>
            <w:pPr>
              <w:ind w:left="0" w:right="0" w:firstLine="0"/>
              <w:jc w:val="lef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95</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医用环保治疗柜</w:t>
            </w:r>
            <w:r/>
          </w:p>
        </w:tc>
        <w:tc>
          <w:tcPr>
            <w:tcBorders>
              <w:top w:val="single" w:color="000000" w:sz="4" w:space="0"/>
              <w:left w:val="single" w:color="000000" w:sz="4" w:space="0"/>
              <w:bottom w:val="single" w:color="000000" w:sz="4" w:space="0"/>
              <w:right w:val="single" w:color="000000" w:sz="4" w:space="0"/>
            </w:tcBorders>
            <w:tcW w:w="1872" w:type="dxa"/>
            <w:vAlign w:val="center"/>
            <w:vMerge w:val="continue"/>
            <w:textDirection w:val="lrTb"/>
            <w:noWrap/>
          </w:tcPr>
          <w:p>
            <w:pPr>
              <w:ind w:left="0" w:right="0" w:firstLine="0"/>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L*580*838</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延米</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17.91</w:t>
            </w:r>
            <w:r/>
          </w:p>
        </w:tc>
        <w:tc>
          <w:tcPr>
            <w:tcBorders>
              <w:top w:val="single" w:color="000000" w:sz="4" w:space="0"/>
              <w:left w:val="single" w:color="000000" w:sz="4" w:space="0"/>
              <w:bottom w:val="single" w:color="000000" w:sz="4" w:space="0"/>
              <w:right w:val="single" w:color="000000" w:sz="4" w:space="0"/>
            </w:tcBorders>
            <w:tcW w:w="2736" w:type="dxa"/>
            <w:vAlign w:val="center"/>
            <w:vMerge w:val="continue"/>
            <w:textDirection w:val="lrTb"/>
            <w:noWrap w:val="false"/>
          </w:tcPr>
          <w:p>
            <w:pPr>
              <w:ind w:left="0" w:right="0" w:firstLine="0"/>
              <w:jc w:val="lef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96</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毒麻药品柜</w:t>
            </w:r>
            <w:r/>
          </w:p>
        </w:tc>
        <w:tc>
          <w:tcPr>
            <w:tcBorders>
              <w:top w:val="single" w:color="000000" w:sz="4" w:space="0"/>
              <w:left w:val="single" w:color="000000" w:sz="4" w:space="0"/>
              <w:bottom w:val="single" w:color="000000" w:sz="4" w:space="0"/>
              <w:right w:val="single" w:color="000000" w:sz="4" w:space="0"/>
            </w:tcBorders>
            <w:tcW w:w="1872" w:type="dxa"/>
            <w:vAlign w:val="center"/>
            <w:vMerge w:val="continue"/>
            <w:textDirection w:val="lrTb"/>
            <w:noWrap/>
          </w:tcPr>
          <w:p>
            <w:pPr>
              <w:ind w:left="0" w:right="0" w:firstLine="0"/>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L*580*838</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延米</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1.35</w:t>
            </w:r>
            <w:r/>
          </w:p>
        </w:tc>
        <w:tc>
          <w:tcPr>
            <w:tcBorders>
              <w:top w:val="single" w:color="000000" w:sz="4" w:space="0"/>
              <w:left w:val="single" w:color="000000" w:sz="4" w:space="0"/>
              <w:bottom w:val="single" w:color="000000" w:sz="4" w:space="0"/>
              <w:right w:val="single" w:color="000000" w:sz="4" w:space="0"/>
            </w:tcBorders>
            <w:tcW w:w="2736" w:type="dxa"/>
            <w:vAlign w:val="center"/>
            <w:vMerge w:val="continue"/>
            <w:textDirection w:val="lrTb"/>
            <w:noWrap w:val="false"/>
          </w:tcPr>
          <w:p>
            <w:pPr>
              <w:ind w:left="0" w:right="0" w:firstLine="0"/>
              <w:jc w:val="lef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97</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复合亚克力人造石台面</w:t>
            </w:r>
            <w:r/>
          </w:p>
        </w:tc>
        <w:tc>
          <w:tcPr>
            <w:tcBorders>
              <w:top w:val="single" w:color="000000" w:sz="4" w:space="0"/>
              <w:left w:val="single" w:color="000000" w:sz="4" w:space="0"/>
              <w:bottom w:val="single" w:color="000000" w:sz="4" w:space="0"/>
              <w:right w:val="single" w:color="000000" w:sz="4" w:space="0"/>
            </w:tcBorders>
            <w:tcW w:w="1872" w:type="dxa"/>
            <w:vAlign w:val="center"/>
            <w:vMerge w:val="continue"/>
            <w:textDirection w:val="lrTb"/>
            <w:noWrap/>
          </w:tcPr>
          <w:p>
            <w:pPr>
              <w:ind w:left="0" w:right="0" w:firstLine="0"/>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L*600*12</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延米</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19.26</w:t>
            </w:r>
            <w:r/>
          </w:p>
        </w:tc>
        <w:tc>
          <w:tcPr>
            <w:tcBorders>
              <w:top w:val="single" w:color="000000" w:sz="4" w:space="0"/>
              <w:left w:val="single" w:color="000000" w:sz="4" w:space="0"/>
              <w:bottom w:val="single" w:color="000000" w:sz="4" w:space="0"/>
              <w:right w:val="single" w:color="000000" w:sz="4" w:space="0"/>
            </w:tcBorders>
            <w:tcW w:w="2736" w:type="dxa"/>
            <w:vAlign w:val="center"/>
            <w:vMerge w:val="continue"/>
            <w:textDirection w:val="lrTb"/>
            <w:noWrap w:val="false"/>
          </w:tcPr>
          <w:p>
            <w:pPr>
              <w:ind w:left="0" w:right="0" w:firstLine="0"/>
              <w:jc w:val="lef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98</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中央台</w:t>
            </w:r>
            <w:r/>
          </w:p>
        </w:tc>
        <w:tc>
          <w:tcPr>
            <w:tcBorders>
              <w:top w:val="single" w:color="000000" w:sz="4" w:space="0"/>
              <w:left w:val="single" w:color="000000" w:sz="4" w:space="0"/>
              <w:bottom w:val="single" w:color="000000" w:sz="4" w:space="0"/>
              <w:right w:val="single" w:color="000000" w:sz="4" w:space="0"/>
            </w:tcBorders>
            <w:tcW w:w="1872" w:type="dxa"/>
            <w:vAlign w:val="center"/>
            <w:vMerge w:val="restart"/>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114425" cy="589915"/>
                      <wp:effectExtent l="0" t="0" r="13335" b="4445"/>
                      <wp:docPr id="86" name="图片 86" descr="IMG_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86" descr="IMG_341"/>
                              <pic:cNvPicPr>
                                <a:picLocks noChangeAspect="1"/>
                              </pic:cNvPicPr>
                              <pic:nvPr/>
                            </pic:nvPicPr>
                            <pic:blipFill>
                              <a:blip r:embed="rId90"/>
                              <a:stretch/>
                            </pic:blipFill>
                            <pic:spPr bwMode="auto">
                              <a:xfrm>
                                <a:off x="0" y="0"/>
                                <a:ext cx="1114425" cy="589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87.8pt;height:46.4pt;mso-wrap-distance-left:0.0pt;mso-wrap-distance-top:0.0pt;mso-wrap-distance-right:0.0pt;mso-wrap-distance-bottom:0.0pt;" stroked="f">
                      <v:path textboxrect="0,0,0,0"/>
                      <v:imagedata r:id="rId90" o:title=""/>
                    </v:shape>
                  </w:pict>
                </mc:Fallback>
              </mc:AlternateConten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L*1450*838</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延米</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736" w:type="dxa"/>
            <w:vAlign w:val="center"/>
            <w:vMerge w:val="restart"/>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1.柜体：采用品牌环保抗菌双面电解钢板，厚度≥1.0mm，表面接缝焊接处应无脱焊、虚焊、焊穿、错位、无夹渣、气孔、焊瘤、焊丝头、咬边、飞溅，表面波纹应均匀，具有耐腐蚀、光滑、不伤手等特点；</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2.喷涂：电解钢板表面采用室内环保型环氧树脂静电粉末喷涂，表面喷粉颜色靓丽，具有环保、抑菌、防锈、耐腐蚀、等技术特点，颜色满足院方要求。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3.台面：采用国产品牌理化板台面。</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4.锁具：采用国产品牌锁具，锁定到位，开启灵活，表面常规镀光亮铬处理。制作工艺精湛，外观漂亮。</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5.导轨：抽拉自如，抽屉内能放置30kg负载重量，开关顺滑，双叠全拉带定位结构，防止滑出，静音效果好，使用寿命长。</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6.铰链</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7.岛式插座13个</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8.不锈钢踢脚线：采用SUS304不锈钢踢脚线，厚度≥1.0mm，易消毒不生锈，操作时无抵脚感，符合人体工程学原理。符合QB/T4767-2014《家具用钢构件》标准。</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9.工艺：采用先进加工工艺，保证产品的精度和外观标准，结构稳固，柜体背后板采用插接工艺，柜后板4EA4接处折弯厚度达到4.0mm,宽度达到18mm，保证整个柜体的背板支撑强度</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99</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实验室边台</w:t>
            </w:r>
            <w:r/>
          </w:p>
        </w:tc>
        <w:tc>
          <w:tcPr>
            <w:tcBorders>
              <w:top w:val="single" w:color="000000" w:sz="4" w:space="0"/>
              <w:left w:val="single" w:color="000000" w:sz="4" w:space="0"/>
              <w:bottom w:val="single" w:color="000000" w:sz="4" w:space="0"/>
              <w:right w:val="single" w:color="000000" w:sz="4" w:space="0"/>
            </w:tcBorders>
            <w:tcW w:w="1872" w:type="dxa"/>
            <w:vAlign w:val="center"/>
            <w:vMerge w:val="continue"/>
            <w:textDirection w:val="lrTb"/>
            <w:noWrap/>
          </w:tcPr>
          <w:p>
            <w:pPr>
              <w:ind w:left="0" w:right="0" w:firstLine="0"/>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L*730*838</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延米</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18.7</w:t>
            </w:r>
            <w:r/>
          </w:p>
        </w:tc>
        <w:tc>
          <w:tcPr>
            <w:tcBorders>
              <w:top w:val="single" w:color="000000" w:sz="4" w:space="0"/>
              <w:left w:val="single" w:color="000000" w:sz="4" w:space="0"/>
              <w:bottom w:val="single" w:color="000000" w:sz="4" w:space="0"/>
              <w:right w:val="single" w:color="000000" w:sz="4" w:space="0"/>
            </w:tcBorders>
            <w:tcW w:w="2736" w:type="dxa"/>
            <w:vAlign w:val="center"/>
            <w:vMerge w:val="continue"/>
            <w:textDirection w:val="lrTb"/>
            <w:noWrap w:val="false"/>
          </w:tcPr>
          <w:p>
            <w:pPr>
              <w:ind w:left="0" w:right="0" w:firstLine="0"/>
              <w:jc w:val="lef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理化板台面</w:t>
            </w:r>
            <w:r/>
          </w:p>
        </w:tc>
        <w:tc>
          <w:tcPr>
            <w:tcBorders>
              <w:top w:val="single" w:color="000000" w:sz="4" w:space="0"/>
              <w:left w:val="single" w:color="000000" w:sz="4" w:space="0"/>
              <w:bottom w:val="single" w:color="000000" w:sz="4" w:space="0"/>
              <w:right w:val="single" w:color="000000" w:sz="4" w:space="0"/>
            </w:tcBorders>
            <w:tcW w:w="1872" w:type="dxa"/>
            <w:vAlign w:val="center"/>
            <w:vMerge w:val="continue"/>
            <w:textDirection w:val="lrTb"/>
            <w:noWrap/>
          </w:tcPr>
          <w:p>
            <w:pPr>
              <w:ind w:left="0" w:right="0" w:firstLine="0"/>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L*1500*12.7</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延米</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736" w:type="dxa"/>
            <w:vAlign w:val="center"/>
            <w:vMerge w:val="continue"/>
            <w:textDirection w:val="lrTb"/>
            <w:noWrap w:val="false"/>
          </w:tcPr>
          <w:p>
            <w:pPr>
              <w:ind w:left="0" w:right="0" w:firstLine="0"/>
              <w:jc w:val="lef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101</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理化板台面</w:t>
            </w:r>
            <w:r/>
          </w:p>
        </w:tc>
        <w:tc>
          <w:tcPr>
            <w:tcBorders>
              <w:top w:val="single" w:color="000000" w:sz="4" w:space="0"/>
              <w:left w:val="single" w:color="000000" w:sz="4" w:space="0"/>
              <w:bottom w:val="single" w:color="000000" w:sz="4" w:space="0"/>
              <w:right w:val="single" w:color="000000" w:sz="4" w:space="0"/>
            </w:tcBorders>
            <w:tcW w:w="1872" w:type="dxa"/>
            <w:vAlign w:val="center"/>
            <w:vMerge w:val="continue"/>
            <w:textDirection w:val="lrTb"/>
            <w:noWrap/>
          </w:tcPr>
          <w:p>
            <w:pPr>
              <w:ind w:left="0" w:right="0" w:firstLine="0"/>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L*750*12.7</w:t>
            </w:r>
            <w:r>
              <w:rPr>
                <w:rFonts w:hint="default" w:ascii="微软雅黑" w:hAnsi="微软雅黑" w:eastAsia="微软雅黑" w:cs="微软雅黑"/>
                <w:color w:val="000000"/>
                <w:sz w:val="24"/>
                <w:szCs w:val="24"/>
                <w:lang w:val="en-US" w:eastAsia="zh-CN" w:bidi="ar"/>
              </w:rPr>
              <w:t xml:space="preserve">（±5mm）</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延米</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18.7</w:t>
            </w:r>
            <w:r/>
          </w:p>
        </w:tc>
        <w:tc>
          <w:tcPr>
            <w:tcBorders>
              <w:top w:val="single" w:color="000000" w:sz="4" w:space="0"/>
              <w:left w:val="single" w:color="000000" w:sz="4" w:space="0"/>
              <w:bottom w:val="single" w:color="000000" w:sz="4" w:space="0"/>
              <w:right w:val="single" w:color="000000" w:sz="4" w:space="0"/>
            </w:tcBorders>
            <w:tcW w:w="2736" w:type="dxa"/>
            <w:vAlign w:val="center"/>
            <w:vMerge w:val="continue"/>
            <w:textDirection w:val="lrTb"/>
            <w:noWrap w:val="false"/>
          </w:tcPr>
          <w:p>
            <w:pPr>
              <w:ind w:left="0" w:right="0" w:firstLine="0"/>
              <w:jc w:val="lef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102</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PP水槽</w:t>
            </w:r>
            <w:r/>
          </w:p>
        </w:tc>
        <w:tc>
          <w:tcPr>
            <w:tcBorders>
              <w:top w:val="single" w:color="000000" w:sz="4" w:space="0"/>
              <w:left w:val="single" w:color="000000" w:sz="4" w:space="0"/>
              <w:bottom w:val="single" w:color="000000" w:sz="4" w:space="0"/>
              <w:right w:val="single" w:color="000000" w:sz="4" w:space="0"/>
            </w:tcBorders>
            <w:tcW w:w="1872" w:type="dxa"/>
            <w:vAlign w:val="center"/>
            <w:vMerge w:val="continue"/>
            <w:textDirection w:val="lrTb"/>
            <w:noWrap/>
          </w:tcPr>
          <w:p>
            <w:pPr>
              <w:ind w:left="0" w:right="0" w:firstLine="0"/>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常规</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736" w:type="dxa"/>
            <w:vAlign w:val="center"/>
            <w:vMerge w:val="continue"/>
            <w:textDirection w:val="lrTb"/>
            <w:noWrap w:val="false"/>
          </w:tcPr>
          <w:p>
            <w:pPr>
              <w:ind w:left="0" w:right="0" w:firstLine="0"/>
              <w:jc w:val="lef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103</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洗眼器</w:t>
            </w:r>
            <w:r/>
          </w:p>
        </w:tc>
        <w:tc>
          <w:tcPr>
            <w:tcBorders>
              <w:top w:val="single" w:color="000000" w:sz="4" w:space="0"/>
              <w:left w:val="single" w:color="000000" w:sz="4" w:space="0"/>
              <w:bottom w:val="single" w:color="000000" w:sz="4" w:space="0"/>
              <w:right w:val="single" w:color="000000" w:sz="4" w:space="0"/>
            </w:tcBorders>
            <w:tcW w:w="1872" w:type="dxa"/>
            <w:vAlign w:val="center"/>
            <w:vMerge w:val="continue"/>
            <w:textDirection w:val="lrTb"/>
            <w:noWrap/>
          </w:tcPr>
          <w:p>
            <w:pPr>
              <w:ind w:left="0" w:right="0" w:firstLine="0"/>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常规</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736" w:type="dxa"/>
            <w:vAlign w:val="center"/>
            <w:vMerge w:val="continue"/>
            <w:textDirection w:val="lrTb"/>
            <w:noWrap w:val="false"/>
          </w:tcPr>
          <w:p>
            <w:pPr>
              <w:ind w:left="0" w:right="0" w:firstLine="0"/>
              <w:jc w:val="lef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104</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滴水架</w:t>
            </w:r>
            <w:r/>
          </w:p>
        </w:tc>
        <w:tc>
          <w:tcPr>
            <w:tcBorders>
              <w:top w:val="single" w:color="000000" w:sz="4" w:space="0"/>
              <w:left w:val="single" w:color="000000" w:sz="4" w:space="0"/>
              <w:bottom w:val="single" w:color="000000" w:sz="4" w:space="0"/>
              <w:right w:val="single" w:color="000000" w:sz="4" w:space="0"/>
            </w:tcBorders>
            <w:tcW w:w="1872" w:type="dxa"/>
            <w:vAlign w:val="center"/>
            <w:vMerge w:val="continue"/>
            <w:textDirection w:val="lrTb"/>
            <w:noWrap/>
          </w:tcPr>
          <w:p>
            <w:pPr>
              <w:ind w:left="0" w:right="0" w:firstLine="0"/>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常规</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ind w:left="0" w:right="0" w:firstLine="0"/>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736" w:type="dxa"/>
            <w:vAlign w:val="center"/>
            <w:vMerge w:val="continue"/>
            <w:textDirection w:val="lrTb"/>
            <w:noWrap w:val="false"/>
          </w:tcPr>
          <w:p>
            <w:pPr>
              <w:ind w:left="0" w:right="0" w:firstLine="0"/>
              <w:jc w:val="lef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r>
    </w:tbl>
    <w:p>
      <w:pPr>
        <w:spacing w:line="0" w:lineRule="atLeast"/>
        <w:rPr>
          <w:rFonts w:hint="eastAsia" w:ascii="宋体" w:hAnsi="宋体" w:eastAsia="宋体" w:cs="Times New Roman"/>
          <w:b/>
          <w:color w:val="000000"/>
          <w:sz w:val="24"/>
          <w:szCs w:val="24"/>
          <w:lang w:val="en-US" w:eastAsia="zh-CN"/>
        </w:rPr>
      </w:pPr>
      <w:r>
        <w:rPr>
          <w:rFonts w:hint="eastAsia" w:ascii="宋体" w:hAnsi="宋体" w:eastAsia="宋体" w:cs="Times New Roman"/>
          <w:b/>
          <w:color w:val="000000"/>
          <w:sz w:val="24"/>
          <w:szCs w:val="24"/>
          <w:lang w:val="en-US" w:eastAsia="zh-CN"/>
        </w:rPr>
        <w:t xml:space="preserve">二、技术要求</w:t>
      </w:r>
      <w:r>
        <w:rPr>
          <w:rFonts w:hint="eastAsia" w:ascii="宋体" w:hAnsi="宋体" w:eastAsia="宋体" w:cs="Times New Roman"/>
          <w:b/>
          <w:bCs w:val="0"/>
          <w:color w:val="000000"/>
          <w:sz w:val="24"/>
          <w:szCs w:val="24"/>
          <w:highlight w:val="none"/>
          <w:lang w:val="en-US" w:eastAsia="zh-CN"/>
        </w:rPr>
        <w:t xml:space="preserve">（</w:t>
      </w:r>
      <w:r>
        <w:rPr>
          <w:rFonts w:hint="eastAsia" w:ascii="宋体" w:hAnsi="宋体" w:eastAsia="宋体" w:cs="宋体"/>
          <w:b/>
          <w:bCs w:val="0"/>
          <w:sz w:val="24"/>
          <w:szCs w:val="24"/>
          <w:highlight w:val="none"/>
        </w:rPr>
        <w:t xml:space="preserve">其中</w:t>
      </w:r>
      <w:r>
        <w:rPr>
          <w:rFonts w:hint="eastAsia" w:ascii="宋体" w:hAnsi="宋体" w:eastAsia="宋体" w:cs="宋体"/>
          <w:b/>
          <w:bCs w:val="0"/>
          <w:sz w:val="24"/>
          <w:szCs w:val="21"/>
          <w:highlight w:val="none"/>
        </w:rPr>
        <w:t xml:space="preserve">加*号条款为实质性要求</w:t>
      </w:r>
      <w:r>
        <w:rPr>
          <w:rFonts w:hint="eastAsia" w:ascii="宋体" w:hAnsi="宋体" w:eastAsia="宋体" w:cs="Times New Roman"/>
          <w:b/>
          <w:bCs w:val="0"/>
          <w:color w:val="000000"/>
          <w:sz w:val="24"/>
          <w:szCs w:val="24"/>
          <w:highlight w:val="none"/>
          <w:lang w:val="en-US" w:eastAsia="zh-CN"/>
        </w:rPr>
        <w:t xml:space="preserve">）</w:t>
      </w:r>
      <w:r/>
    </w:p>
    <w:p>
      <w:pPr>
        <w:ind w:left="0" w:right="0" w:firstLine="0"/>
        <w:jc w:val="left"/>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（一）详见上述清单表格“技术参数”一列。（其中74项1-4加*号条款为实质性要求）</w:t>
      </w:r>
      <w:r/>
    </w:p>
    <w:p>
      <w:pPr>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b/>
          <w:bCs/>
          <w:sz w:val="24"/>
          <w:szCs w:val="21"/>
          <w:highlight w:val="none"/>
        </w:rPr>
        <w:t xml:space="preserve">*</w:t>
      </w:r>
      <w:r>
        <w:rPr>
          <w:rFonts w:hint="eastAsia" w:ascii="宋体" w:hAnsi="宋体" w:eastAsia="宋体" w:cs="宋体"/>
          <w:i w:val="0"/>
          <w:iCs w:val="0"/>
          <w:color w:val="000000"/>
          <w:sz w:val="24"/>
          <w:szCs w:val="24"/>
          <w:u w:val="none"/>
          <w:lang w:val="en-US" w:eastAsia="zh-CN" w:bidi="ar"/>
        </w:rPr>
        <w:t xml:space="preserve">（二）采购内容需执行的国家相关标准、行业标准、地方标准或者其他标准、规范（若有更新，以最新标准、规范为准）。包括但不限于以下：</w:t>
      </w:r>
      <w:r/>
    </w:p>
    <w:tbl>
      <w:tblPr>
        <w:tblStyle w:val="893"/>
        <w:tblW w:w="931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40"/>
        <w:gridCol w:w="5813"/>
        <w:gridCol w:w="2763"/>
      </w:tblGrid>
      <w:tr>
        <w:trPr>
          <w:jc w:val="center"/>
          <w:trHeight w:val="300"/>
        </w:trPr>
        <w:tc>
          <w:tcPr>
            <w:tcBorders>
              <w:top w:val="single" w:color="000000" w:sz="8" w:space="0"/>
              <w:left w:val="single" w:color="000000" w:sz="8" w:space="0"/>
              <w:bottom w:val="single" w:color="000000" w:sz="8" w:space="0"/>
              <w:right w:val="single" w:color="000000" w:sz="8" w:space="0"/>
            </w:tcBorders>
            <w:tcW w:w="74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tcBorders>
              <w:top w:val="single" w:color="000000" w:sz="8" w:space="0"/>
              <w:left w:val="single" w:color="000000" w:sz="8" w:space="0"/>
              <w:bottom w:val="single" w:color="000000" w:sz="8" w:space="0"/>
              <w:right w:val="single" w:color="000000" w:sz="8" w:space="0"/>
            </w:tcBorders>
            <w:tcW w:w="581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名称</w:t>
            </w:r>
            <w:r/>
          </w:p>
        </w:tc>
        <w:tc>
          <w:tcPr>
            <w:tcBorders>
              <w:top w:val="single" w:color="000000" w:sz="8" w:space="0"/>
              <w:left w:val="single" w:color="000000" w:sz="8" w:space="0"/>
              <w:bottom w:val="single" w:color="000000" w:sz="8" w:space="0"/>
              <w:right w:val="single" w:color="000000" w:sz="8" w:space="0"/>
            </w:tcBorders>
            <w:tcW w:w="276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标号或文号</w:t>
            </w:r>
            <w:r/>
          </w:p>
        </w:tc>
      </w:tr>
      <w:tr>
        <w:trPr>
          <w:jc w:val="center"/>
          <w:trHeight w:val="585"/>
        </w:trPr>
        <w:tc>
          <w:tcPr>
            <w:tcBorders>
              <w:top w:val="none" w:color="000000" w:sz="4" w:space="0"/>
              <w:left w:val="single" w:color="000000" w:sz="8" w:space="0"/>
              <w:bottom w:val="single" w:color="000000" w:sz="8" w:space="0"/>
              <w:right w:val="single" w:color="000000" w:sz="8" w:space="0"/>
            </w:tcBorders>
            <w:tcW w:w="74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none" w:color="000000" w:sz="4" w:space="0"/>
              <w:left w:val="single" w:color="000000" w:sz="8" w:space="0"/>
              <w:bottom w:val="single" w:color="000000" w:sz="8" w:space="0"/>
              <w:right w:val="single" w:color="000000" w:sz="8" w:space="0"/>
            </w:tcBorders>
            <w:tcW w:w="581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室内装饰装修材料人造板及其制品中甲醛释放限量</w:t>
            </w:r>
            <w:r/>
          </w:p>
        </w:tc>
        <w:tc>
          <w:tcPr>
            <w:tcBorders>
              <w:top w:val="none" w:color="000000" w:sz="4" w:space="0"/>
              <w:left w:val="single" w:color="000000" w:sz="8" w:space="0"/>
              <w:bottom w:val="single" w:color="000000" w:sz="8" w:space="0"/>
              <w:right w:val="single" w:color="000000" w:sz="8" w:space="0"/>
            </w:tcBorders>
            <w:tcW w:w="276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GB 18580-2017</w:t>
            </w:r>
            <w:r/>
          </w:p>
        </w:tc>
      </w:tr>
      <w:tr>
        <w:trPr>
          <w:jc w:val="center"/>
          <w:trHeight w:val="585"/>
        </w:trPr>
        <w:tc>
          <w:tcPr>
            <w:tcBorders>
              <w:top w:val="none" w:color="000000" w:sz="4" w:space="0"/>
              <w:left w:val="single" w:color="000000" w:sz="8" w:space="0"/>
              <w:bottom w:val="single" w:color="000000" w:sz="8" w:space="0"/>
              <w:right w:val="single" w:color="000000" w:sz="8" w:space="0"/>
            </w:tcBorders>
            <w:tcW w:w="74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none" w:color="000000" w:sz="4" w:space="0"/>
              <w:left w:val="single" w:color="000000" w:sz="8" w:space="0"/>
              <w:bottom w:val="single" w:color="000000" w:sz="8" w:space="0"/>
              <w:right w:val="single" w:color="000000" w:sz="8" w:space="0"/>
            </w:tcBorders>
            <w:tcW w:w="581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室内装饰装修材料 木家具中有害物质限量</w:t>
            </w:r>
            <w:r/>
          </w:p>
        </w:tc>
        <w:tc>
          <w:tcPr>
            <w:tcBorders>
              <w:top w:val="none" w:color="000000" w:sz="4" w:space="0"/>
              <w:left w:val="single" w:color="000000" w:sz="8" w:space="0"/>
              <w:bottom w:val="single" w:color="000000" w:sz="8" w:space="0"/>
              <w:right w:val="single" w:color="000000" w:sz="8" w:space="0"/>
            </w:tcBorders>
            <w:tcW w:w="276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GB 18584-2001</w:t>
            </w:r>
            <w:r/>
          </w:p>
        </w:tc>
      </w:tr>
      <w:tr>
        <w:trPr>
          <w:jc w:val="center"/>
          <w:trHeight w:val="585"/>
        </w:trPr>
        <w:tc>
          <w:tcPr>
            <w:tcBorders>
              <w:top w:val="none" w:color="000000" w:sz="4" w:space="0"/>
              <w:left w:val="single" w:color="000000" w:sz="8" w:space="0"/>
              <w:bottom w:val="single" w:color="000000" w:sz="8" w:space="0"/>
              <w:right w:val="single" w:color="000000" w:sz="8" w:space="0"/>
            </w:tcBorders>
            <w:tcW w:w="74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none" w:color="000000" w:sz="4" w:space="0"/>
              <w:left w:val="single" w:color="000000" w:sz="8" w:space="0"/>
              <w:bottom w:val="single" w:color="000000" w:sz="8" w:space="0"/>
              <w:right w:val="single" w:color="000000" w:sz="8" w:space="0"/>
            </w:tcBorders>
            <w:tcW w:w="581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室内装饰装修材料胶粘剂中有害物质限量</w:t>
            </w:r>
            <w:r/>
          </w:p>
        </w:tc>
        <w:tc>
          <w:tcPr>
            <w:tcBorders>
              <w:top w:val="none" w:color="000000" w:sz="4" w:space="0"/>
              <w:left w:val="single" w:color="000000" w:sz="8" w:space="0"/>
              <w:bottom w:val="single" w:color="000000" w:sz="8" w:space="0"/>
              <w:right w:val="single" w:color="000000" w:sz="8" w:space="0"/>
            </w:tcBorders>
            <w:tcW w:w="276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GB 18583-2008</w:t>
            </w:r>
            <w:r/>
          </w:p>
        </w:tc>
      </w:tr>
      <w:tr>
        <w:trPr>
          <w:jc w:val="center"/>
          <w:trHeight w:val="300"/>
        </w:trPr>
        <w:tc>
          <w:tcPr>
            <w:tcBorders>
              <w:top w:val="none" w:color="000000" w:sz="4" w:space="0"/>
              <w:left w:val="single" w:color="000000" w:sz="8" w:space="0"/>
              <w:bottom w:val="single" w:color="000000" w:sz="8" w:space="0"/>
              <w:right w:val="single" w:color="000000" w:sz="8" w:space="0"/>
            </w:tcBorders>
            <w:tcW w:w="74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none" w:color="000000" w:sz="4" w:space="0"/>
              <w:left w:val="single" w:color="000000" w:sz="8" w:space="0"/>
              <w:bottom w:val="single" w:color="000000" w:sz="8" w:space="0"/>
              <w:right w:val="single" w:color="000000" w:sz="8" w:space="0"/>
            </w:tcBorders>
            <w:tcW w:w="581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塑料家具中有害物质限量</w:t>
            </w:r>
            <w:r/>
          </w:p>
        </w:tc>
        <w:tc>
          <w:tcPr>
            <w:tcBorders>
              <w:top w:val="none" w:color="000000" w:sz="4" w:space="0"/>
              <w:left w:val="single" w:color="000000" w:sz="8" w:space="0"/>
              <w:bottom w:val="single" w:color="000000" w:sz="8" w:space="0"/>
              <w:right w:val="single" w:color="000000" w:sz="8" w:space="0"/>
            </w:tcBorders>
            <w:tcW w:w="276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GB 28481-2012</w:t>
            </w:r>
            <w:r/>
          </w:p>
        </w:tc>
      </w:tr>
      <w:tr>
        <w:trPr>
          <w:jc w:val="center"/>
          <w:trHeight w:val="300"/>
        </w:trPr>
        <w:tc>
          <w:tcPr>
            <w:tcBorders>
              <w:top w:val="none" w:color="000000" w:sz="4" w:space="0"/>
              <w:left w:val="single" w:color="000000" w:sz="8" w:space="0"/>
              <w:bottom w:val="single" w:color="000000" w:sz="8" w:space="0"/>
              <w:right w:val="single" w:color="000000" w:sz="8" w:space="0"/>
            </w:tcBorders>
            <w:tcW w:w="74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none" w:color="000000" w:sz="4" w:space="0"/>
              <w:left w:val="single" w:color="000000" w:sz="8" w:space="0"/>
              <w:bottom w:val="single" w:color="000000" w:sz="8" w:space="0"/>
              <w:right w:val="single" w:color="000000" w:sz="8" w:space="0"/>
            </w:tcBorders>
            <w:tcW w:w="581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环境标志产品技术要求 家具</w:t>
            </w:r>
            <w:r/>
          </w:p>
        </w:tc>
        <w:tc>
          <w:tcPr>
            <w:tcBorders>
              <w:top w:val="none" w:color="000000" w:sz="4" w:space="0"/>
              <w:left w:val="single" w:color="000000" w:sz="8" w:space="0"/>
              <w:bottom w:val="single" w:color="000000" w:sz="8" w:space="0"/>
              <w:right w:val="single" w:color="000000" w:sz="8" w:space="0"/>
            </w:tcBorders>
            <w:tcW w:w="276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HJ 2547-2016</w:t>
            </w:r>
            <w:r/>
          </w:p>
        </w:tc>
      </w:tr>
      <w:tr>
        <w:trPr>
          <w:jc w:val="center"/>
          <w:trHeight w:val="585"/>
        </w:trPr>
        <w:tc>
          <w:tcPr>
            <w:tcBorders>
              <w:top w:val="none" w:color="000000" w:sz="4" w:space="0"/>
              <w:left w:val="single" w:color="000000" w:sz="8" w:space="0"/>
              <w:bottom w:val="single" w:color="000000" w:sz="8" w:space="0"/>
              <w:right w:val="single" w:color="000000" w:sz="8" w:space="0"/>
            </w:tcBorders>
            <w:tcW w:w="74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none" w:color="000000" w:sz="4" w:space="0"/>
              <w:left w:val="single" w:color="000000" w:sz="8" w:space="0"/>
              <w:bottom w:val="single" w:color="000000" w:sz="8" w:space="0"/>
              <w:right w:val="single" w:color="000000" w:sz="8" w:space="0"/>
            </w:tcBorders>
            <w:tcW w:w="581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室内装饰装修材料胶粘剂中有害物质限量</w:t>
            </w:r>
            <w:r/>
          </w:p>
        </w:tc>
        <w:tc>
          <w:tcPr>
            <w:tcBorders>
              <w:top w:val="none" w:color="000000" w:sz="4" w:space="0"/>
              <w:left w:val="single" w:color="000000" w:sz="8" w:space="0"/>
              <w:bottom w:val="single" w:color="000000" w:sz="8" w:space="0"/>
              <w:right w:val="single" w:color="000000" w:sz="8" w:space="0"/>
            </w:tcBorders>
            <w:tcW w:w="276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GB 18583-2008</w:t>
            </w:r>
            <w:r/>
          </w:p>
        </w:tc>
      </w:tr>
      <w:tr>
        <w:trPr>
          <w:jc w:val="center"/>
          <w:trHeight w:val="300"/>
        </w:trPr>
        <w:tc>
          <w:tcPr>
            <w:tcBorders>
              <w:top w:val="none" w:color="000000" w:sz="4" w:space="0"/>
              <w:left w:val="single" w:color="000000" w:sz="8" w:space="0"/>
              <w:bottom w:val="single" w:color="000000" w:sz="8" w:space="0"/>
              <w:right w:val="single" w:color="000000" w:sz="8" w:space="0"/>
            </w:tcBorders>
            <w:tcW w:w="74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none" w:color="000000" w:sz="4" w:space="0"/>
              <w:left w:val="single" w:color="000000" w:sz="8" w:space="0"/>
              <w:bottom w:val="single" w:color="000000" w:sz="8" w:space="0"/>
              <w:right w:val="single" w:color="000000" w:sz="8" w:space="0"/>
            </w:tcBorders>
            <w:tcW w:w="581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木器涂料中有害物质限量</w:t>
            </w:r>
            <w:r/>
          </w:p>
        </w:tc>
        <w:tc>
          <w:tcPr>
            <w:tcBorders>
              <w:top w:val="none" w:color="000000" w:sz="4" w:space="0"/>
              <w:left w:val="single" w:color="000000" w:sz="8" w:space="0"/>
              <w:bottom w:val="single" w:color="000000" w:sz="8" w:space="0"/>
              <w:right w:val="single" w:color="000000" w:sz="8" w:space="0"/>
            </w:tcBorders>
            <w:tcW w:w="276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GB 18581-2020</w:t>
            </w:r>
            <w:r/>
          </w:p>
        </w:tc>
      </w:tr>
    </w:tbl>
    <w:p>
      <w:pPr>
        <w:numPr>
          <w:ilvl w:val="0"/>
          <w:numId w:val="0"/>
        </w:numPr>
        <w:jc w:val="left"/>
        <w:keepLines w:val="0"/>
        <w:keepNext w:val="0"/>
        <w:pageBreakBefore w:val="0"/>
        <w:spacing w:line="400" w:lineRule="exact"/>
        <w:widowControl/>
        <w:rPr>
          <w:rFonts w:hint="eastAsia" w:ascii="宋体" w:hAnsi="宋体" w:eastAsia="宋体" w:cs="Times New Roman"/>
          <w:b/>
          <w:color w:val="000000"/>
          <w:sz w:val="24"/>
          <w:szCs w:val="24"/>
          <w:lang w:val="en-US" w:eastAsia="zh-CN"/>
        </w:rPr>
        <w:outlineLvl w:val="0"/>
      </w:pPr>
      <w:r>
        <w:rPr>
          <w:rFonts w:hint="eastAsia" w:ascii="宋体" w:hAnsi="宋体" w:eastAsia="宋体" w:cs="宋体"/>
          <w:b/>
          <w:bCs/>
          <w:sz w:val="24"/>
          <w:szCs w:val="21"/>
          <w:highlight w:val="none"/>
          <w:lang w:eastAsia="zh-CN"/>
        </w:rPr>
        <w:t xml:space="preserve">（</w:t>
      </w:r>
      <w:r>
        <w:rPr>
          <w:rFonts w:hint="eastAsia" w:ascii="宋体" w:hAnsi="宋体" w:eastAsia="宋体" w:cs="宋体"/>
          <w:b/>
          <w:bCs/>
          <w:sz w:val="24"/>
          <w:szCs w:val="21"/>
          <w:highlight w:val="none"/>
          <w:lang w:val="en-US" w:eastAsia="zh-CN"/>
        </w:rPr>
        <w:t xml:space="preserve">三</w:t>
      </w:r>
      <w:r>
        <w:rPr>
          <w:rFonts w:hint="eastAsia" w:ascii="宋体" w:hAnsi="宋体" w:eastAsia="宋体" w:cs="宋体"/>
          <w:b/>
          <w:bCs/>
          <w:sz w:val="24"/>
          <w:szCs w:val="21"/>
          <w:highlight w:val="none"/>
          <w:lang w:eastAsia="zh-CN"/>
        </w:rPr>
        <w:t xml:space="preserve">）</w:t>
      </w:r>
      <w:r>
        <w:rPr>
          <w:rFonts w:hint="eastAsia" w:ascii="宋体" w:hAnsi="宋体" w:eastAsia="宋体" w:cs="Times New Roman"/>
          <w:b/>
          <w:color w:val="000000"/>
          <w:sz w:val="24"/>
          <w:szCs w:val="24"/>
          <w:lang w:val="en-US" w:eastAsia="zh-CN"/>
        </w:rPr>
        <w:t xml:space="preserve">产品检测报告（以下23个产品需提供检测报告）</w:t>
      </w:r>
      <w:r/>
    </w:p>
    <w:p>
      <w:pPr>
        <w:numPr>
          <w:ilvl w:val="0"/>
          <w:numId w:val="0"/>
        </w:numPr>
        <w:ind w:firstLine="480"/>
        <w:jc w:val="left"/>
        <w:keepLines w:val="0"/>
        <w:keepNext w:val="0"/>
        <w:pageBreakBefore w:val="0"/>
        <w:spacing w:line="400" w:lineRule="exact"/>
        <w:widowControl/>
        <w:rPr>
          <w:rFonts w:hint="eastAsia" w:ascii="宋体" w:hAnsi="宋体" w:eastAsia="宋体" w:cs="宋体"/>
          <w:sz w:val="24"/>
          <w:szCs w:val="24"/>
          <w:highlight w:val="none"/>
          <w:lang w:val="en-US" w:eastAsia="zh-CN"/>
        </w:rPr>
        <w:outlineLvl w:val="0"/>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highlight w:val="none"/>
          <w:lang w:val="en-US" w:eastAsia="zh-CN"/>
        </w:rPr>
        <w:t xml:space="preserve">人造石</w:t>
      </w:r>
      <w:r/>
    </w:p>
    <w:p>
      <w:pPr>
        <w:ind w:firstLine="480"/>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抗菌性能值-金黄色葡萄球菌、大肠杆菌、肺炎克雷伯氏菌、表皮葡萄球菌、白色念珠菌铜绿假单胞菌</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抗菌性能值≥</w:t>
      </w:r>
      <w:r>
        <w:rPr>
          <w:rFonts w:hint="eastAsia" w:ascii="宋体" w:hAnsi="宋体" w:eastAsia="宋体" w:cs="宋体"/>
          <w:sz w:val="24"/>
          <w:szCs w:val="24"/>
          <w:lang w:val="en-US" w:eastAsia="zh-CN"/>
        </w:rPr>
        <w:t xml:space="preserve">2.5</w:t>
      </w:r>
      <w:r/>
    </w:p>
    <w:p>
      <w:pPr>
        <w:ind w:firstLine="480"/>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防霉性能-黑曲霉、球毛壳霉、宛氏拟青霉、绳状青霉、土曲霉、黄曲霉、大毛霉、绿色木霉、桔青霉、出芽短梗霉</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赭绿青霉、短柄帚霉、绿粘帚霉、腊叶芽枝霉、链格孢防霉等级达到0级</w:t>
      </w:r>
      <w:r/>
    </w:p>
    <w:p>
      <w:pPr>
        <w:ind w:firstLine="480"/>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抑菌率-金黄色葡萄球菌、大肠杆菌、肺炎克雷伯氏菌、-乙型副伤寒沙门氏菌、表皮葡萄球菌、鼠伤寒沙门氏菌、宋内志贺氏菌、乙型溶血性链球菌、白色念珠菌铜绿假单胞菌、白色葡萄球菌、粪肠球菌、甲型副伤寒沙门氏菌、粘质沙雷伯氏菌抑菌率≥</w:t>
      </w:r>
      <w:r>
        <w:rPr>
          <w:rFonts w:hint="eastAsia" w:ascii="宋体" w:hAnsi="宋体" w:eastAsia="宋体" w:cs="宋体"/>
          <w:sz w:val="24"/>
          <w:szCs w:val="24"/>
          <w:lang w:val="en-US" w:eastAsia="zh-CN"/>
        </w:rPr>
        <w:t xml:space="preserve">99%</w:t>
      </w:r>
      <w:r/>
    </w:p>
    <w:p>
      <w:pPr>
        <w:ind w:firstLine="480"/>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耐燃烧性能阻燃性能-氧指数-不小于40%</w:t>
      </w:r>
      <w:r/>
    </w:p>
    <w:p>
      <w:pPr>
        <w:ind w:firstLine="480"/>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抗病毒性能(24h)--肠道病毒EV71;流感病毒H3N2抗病毒活性值≥3.0</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洛氏硬度，HRC≥80</w:t>
      </w:r>
      <w:r/>
    </w:p>
    <w:p>
      <w:pPr>
        <w:ind w:firstLine="480"/>
        <w:jc w:val="left"/>
        <w:keepLines w:val="0"/>
        <w:keepNext w:val="0"/>
        <w:pageBreakBefore w:val="0"/>
        <w:spacing w:line="400" w:lineRule="exact"/>
        <w:widowControl/>
        <w:rPr>
          <w:rFonts w:hint="eastAsia" w:ascii="宋体" w:hAnsi="宋体" w:eastAsia="宋体" w:cs="宋体"/>
          <w:sz w:val="24"/>
          <w:szCs w:val="24"/>
          <w:highlight w:val="none"/>
          <w:lang w:val="en-US" w:eastAsia="zh-CN"/>
        </w:rPr>
        <w:outlineLvl w:val="0"/>
      </w:pPr>
      <w:r>
        <w:rPr>
          <w:rFonts w:hint="eastAsia" w:ascii="宋体" w:hAnsi="宋体" w:eastAsia="宋体" w:cs="宋体"/>
          <w:sz w:val="24"/>
          <w:szCs w:val="24"/>
          <w:highlight w:val="none"/>
          <w:lang w:val="en-US" w:eastAsia="zh-CN"/>
        </w:rPr>
        <w:t xml:space="preserve">2.304不锈钢</w:t>
      </w:r>
      <w:r/>
    </w:p>
    <w:p>
      <w:pPr>
        <w:ind w:firstLine="480"/>
        <w:jc w:val="left"/>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（1）金属表面耐腐蚀试验-铜加速乙酸盐雾试验≥300h涂(镀)层对基体的保护等级≥9级</w:t>
      </w:r>
      <w:r/>
    </w:p>
    <w:p>
      <w:pPr>
        <w:ind w:firstLine="480"/>
        <w:jc w:val="left"/>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中性盐雾试验连续喷雾≥300h涂(镀)层对基体的保护等级≥9级</w:t>
      </w:r>
      <w:r/>
    </w:p>
    <w:p>
      <w:pPr>
        <w:ind w:firstLine="480"/>
        <w:jc w:val="left"/>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（2）耐霉菌性-黑曲霉、腊叶芽枝霉、宛氏拟青霉、桔青霉、绿色木霉、出芽短梗霉、链格孢达到0级</w:t>
      </w:r>
      <w:r/>
    </w:p>
    <w:p>
      <w:pPr>
        <w:ind w:firstLine="480"/>
        <w:jc w:val="left"/>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（3）抗菌性能-金黄色葡萄球菌、大肠杆菌、肺炎克雷伯氏菌、鼠伤寒沙门氏菌、白色念珠菌、铜绿假单胞菌、粪肠球菌：抗菌率≥99%</w:t>
      </w:r>
      <w:r/>
    </w:p>
    <w:p>
      <w:pPr>
        <w:ind w:firstLine="480"/>
        <w:jc w:val="left"/>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（4）力学性能-规定塑性延伸强度Rp0.2≥300MPa</w:t>
      </w:r>
      <w:r/>
    </w:p>
    <w:p>
      <w:pPr>
        <w:ind w:firstLine="480"/>
        <w:jc w:val="left"/>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抗拉强度Rm≥515MPa</w:t>
      </w:r>
      <w:r/>
    </w:p>
    <w:p>
      <w:pPr>
        <w:ind w:firstLine="480"/>
        <w:jc w:val="left"/>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断后伸长率A50≥40%</w:t>
      </w:r>
      <w:r/>
    </w:p>
    <w:p>
      <w:pPr>
        <w:ind w:firstLine="480"/>
        <w:jc w:val="left"/>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（5）化学成分-C≤0.05%、Si≤0.4%、Mn≤1.0%、P≤0.03%、S≤0.01%、Cr17.5~19.5%、Ni8~10.5%</w:t>
      </w:r>
      <w:r/>
    </w:p>
    <w:p>
      <w:pPr>
        <w:numPr>
          <w:ilvl w:val="0"/>
          <w:numId w:val="0"/>
        </w:numPr>
        <w:ind w:left="0" w:firstLine="480"/>
        <w:jc w:val="left"/>
        <w:keepLines w:val="0"/>
        <w:keepNext w:val="0"/>
        <w:pageBreakBefore w:val="0"/>
        <w:spacing w:line="400" w:lineRule="exact"/>
        <w:widowControl/>
        <w:rPr>
          <w:rFonts w:hint="eastAsia" w:ascii="宋体" w:hAnsi="宋体" w:eastAsia="宋体" w:cs="宋体"/>
          <w:sz w:val="24"/>
          <w:szCs w:val="24"/>
          <w:highlight w:val="none"/>
          <w:lang w:val="en-US" w:eastAsia="zh-CN"/>
        </w:rPr>
        <w:outlineLvl w:val="0"/>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highlight w:val="none"/>
          <w:lang w:val="en-US" w:eastAsia="zh-CN"/>
        </w:rPr>
        <w:t xml:space="preserve">环氧树脂静电粉末</w:t>
      </w:r>
      <w:r/>
    </w:p>
    <w:p>
      <w:pPr>
        <w:ind w:firstLine="480"/>
        <w:jc w:val="left"/>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（1）有害物质限量的限量值要求-总铅(Pb)含量未检出</w:t>
      </w:r>
      <w:r/>
    </w:p>
    <w:p>
      <w:pPr>
        <w:ind w:firstLine="480"/>
        <w:jc w:val="left"/>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可溶性重金属含量-镉(Cd)含量、铬(Cr)含量、汞(Hg)含量：未检出</w:t>
      </w:r>
      <w:r/>
    </w:p>
    <w:p>
      <w:pPr>
        <w:ind w:firstLine="480"/>
        <w:jc w:val="left"/>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rPr>
        <w:t xml:space="preserve">▲</w:t>
      </w:r>
      <w:r>
        <w:rPr>
          <w:rFonts w:hint="eastAsia" w:ascii="宋体" w:hAnsi="宋体" w:eastAsia="宋体" w:cs="宋体"/>
          <w:sz w:val="24"/>
          <w:szCs w:val="24"/>
          <w:highlight w:val="none"/>
          <w:lang w:val="en-US" w:eastAsia="zh-CN"/>
        </w:rPr>
        <w:t xml:space="preserve">（2）抗细菌性能-抗细菌率(抗菌率)-金黄色葡萄球菌、大肠埃希氏菌、肺炎克雷伯氏菌、鼠伤寒沙门氏菌、宋内志贺氏菌、白色念珠菌、铜绿假单胞菌、鲍曼不动杆菌、白色葡萄球菌、粪肠球菌、粘质沙雷伯氏菌、乙型副伤寒沙门氏菌、表皮葡萄球菌、乙型溶血性链球菌、甲型副伤寒沙门氏菌≥99%</w:t>
      </w:r>
      <w:r/>
    </w:p>
    <w:p>
      <w:pPr>
        <w:ind w:firstLine="480"/>
        <w:jc w:val="left"/>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rPr>
        <w:t xml:space="preserve">▲</w:t>
      </w:r>
      <w:r>
        <w:rPr>
          <w:rFonts w:hint="eastAsia" w:ascii="宋体" w:hAnsi="宋体" w:eastAsia="宋体" w:cs="宋体"/>
          <w:sz w:val="24"/>
          <w:szCs w:val="24"/>
          <w:highlight w:val="none"/>
          <w:lang w:val="en-US" w:eastAsia="zh-CN"/>
        </w:rPr>
        <w:t xml:space="preserve">（3）抗霉菌性能-土曲霉、出芽短梗霉、黄曲霉、绿色木霉、赭绿青霉、短柄帚霉、绿粘帚霉、腊叶芽枝霉、链格孢、长枝木霉、黑曲霉、宛氏拟青霉、球毛壳霉、桔青霉0级</w:t>
      </w:r>
      <w:r/>
    </w:p>
    <w:p>
      <w:pPr>
        <w:ind w:firstLine="480"/>
        <w:jc w:val="left"/>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（4）耐酸性[3%(质量分数)盐酸溶液]500h无异常</w:t>
      </w:r>
      <w:r/>
    </w:p>
    <w:p>
      <w:pPr>
        <w:ind w:firstLine="480"/>
        <w:jc w:val="left"/>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耐碱性[5%(质量分数)氢氧化钠溶液]：168h,无异常</w:t>
      </w:r>
      <w:r/>
    </w:p>
    <w:p>
      <w:pPr>
        <w:ind w:firstLine="480"/>
        <w:jc w:val="left"/>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耐沸水性-商定：240h,无异常</w:t>
      </w:r>
      <w:r/>
    </w:p>
    <w:p>
      <w:pPr>
        <w:ind w:firstLine="480"/>
        <w:jc w:val="left"/>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耐盐雾性-中性盐雾</w:t>
      </w:r>
      <w:r>
        <w:rPr>
          <w:rFonts w:hint="eastAsia" w:ascii="宋体" w:hAnsi="宋体" w:eastAsia="宋体" w:cs="宋体"/>
          <w:sz w:val="24"/>
          <w:szCs w:val="24"/>
          <w:lang w:val="en-US" w:eastAsia="zh-CN"/>
        </w:rPr>
        <w:t xml:space="preserve">≥</w:t>
      </w:r>
      <w:r>
        <w:rPr>
          <w:rFonts w:hint="eastAsia" w:ascii="宋体" w:hAnsi="宋体" w:eastAsia="宋体" w:cs="宋体"/>
          <w:sz w:val="24"/>
          <w:szCs w:val="24"/>
          <w:highlight w:val="none"/>
          <w:lang w:val="en-US" w:eastAsia="zh-CN"/>
        </w:rPr>
        <w:t xml:space="preserve">300h划痕处单向腐蚀蔓延宽度≤2.0mm,未划痕区无起泡、生锈、开裂、剥落等异常现象</w:t>
      </w:r>
      <w:r/>
    </w:p>
    <w:p>
      <w:pPr>
        <w:ind w:firstLine="480"/>
        <w:jc w:val="left"/>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耐人工气候老化性-室外用B类-300h变色≤1级，失光≤2级，无粉化、气泡、开裂、剥落等异常现象</w:t>
      </w:r>
      <w:r/>
    </w:p>
    <w:p>
      <w:pPr>
        <w:numPr>
          <w:ilvl w:val="0"/>
          <w:numId w:val="0"/>
        </w:numPr>
        <w:ind w:left="0" w:firstLine="480"/>
        <w:keepLines w:val="0"/>
        <w:keepNext w:val="0"/>
        <w:pageBreakBefore w:val="0"/>
        <w:spacing w:line="400" w:lineRule="exact"/>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bidi="ar-SA"/>
        </w:rPr>
        <w:t xml:space="preserve">4.</w:t>
      </w:r>
      <w:r>
        <w:rPr>
          <w:rFonts w:hint="eastAsia" w:ascii="宋体" w:hAnsi="宋体" w:eastAsia="宋体" w:cs="宋体"/>
          <w:sz w:val="24"/>
          <w:szCs w:val="24"/>
          <w:lang w:val="en-US" w:eastAsia="zh-CN"/>
        </w:rPr>
        <w:t xml:space="preserve">电解钢板</w:t>
      </w:r>
      <w:r/>
    </w:p>
    <w:p>
      <w:pPr>
        <w:numPr>
          <w:ilvl w:val="0"/>
          <w:numId w:val="0"/>
        </w:numPr>
        <w:ind w:left="0" w:firstLine="480"/>
        <w:keepLines w:val="0"/>
        <w:keepNext w:val="0"/>
        <w:pageBreakBefore w:val="0"/>
        <w:spacing w:line="40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（1）铜加速乙酸盐雾试验≥300h铜加速乙酸盐雾试验耐腐蚀等级≥9级</w:t>
      </w:r>
      <w:r/>
    </w:p>
    <w:p>
      <w:pPr>
        <w:numPr>
          <w:ilvl w:val="0"/>
          <w:numId w:val="0"/>
        </w:numPr>
        <w:ind w:left="0" w:firstLine="480"/>
        <w:keepLines w:val="0"/>
        <w:keepNext w:val="0"/>
        <w:pageBreakBefore w:val="0"/>
        <w:spacing w:line="40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中性盐雾试验≥300h涂(镀)层本身的耐腐蚀等级≥9级</w:t>
      </w:r>
      <w:r/>
    </w:p>
    <w:p>
      <w:pPr>
        <w:numPr>
          <w:ilvl w:val="0"/>
          <w:numId w:val="0"/>
        </w:numPr>
        <w:ind w:left="0" w:firstLine="480"/>
        <w:keepLines w:val="0"/>
        <w:keepNext w:val="0"/>
        <w:pageBreakBefore w:val="0"/>
        <w:spacing w:line="40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乙酸盐雾试验≥300h涂(镀)层本身的耐腐蚀等级≥9级</w:t>
      </w:r>
      <w:r/>
    </w:p>
    <w:p>
      <w:pPr>
        <w:numPr>
          <w:ilvl w:val="0"/>
          <w:numId w:val="0"/>
        </w:numPr>
        <w:ind w:left="0" w:firstLine="480"/>
        <w:keepLines w:val="0"/>
        <w:keepNext w:val="0"/>
        <w:pageBreakBefore w:val="0"/>
        <w:spacing w:line="40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（2）燃烧性能--燃烧增长速率指数FIGRAo.MJ≤60W/s</w:t>
      </w:r>
      <w:r/>
    </w:p>
    <w:p>
      <w:pPr>
        <w:numPr>
          <w:ilvl w:val="0"/>
          <w:numId w:val="0"/>
        </w:numPr>
        <w:ind w:left="0" w:firstLine="480"/>
        <w:keepLines w:val="0"/>
        <w:keepNext w:val="0"/>
        <w:pageBreakBefore w:val="0"/>
        <w:spacing w:line="40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燃烧性能等级B1--火焰横向蔓延未到达试样长翼边缘</w:t>
      </w:r>
      <w:r/>
    </w:p>
    <w:p>
      <w:pPr>
        <w:numPr>
          <w:ilvl w:val="0"/>
          <w:numId w:val="0"/>
        </w:numPr>
        <w:ind w:left="0" w:firstLine="480"/>
        <w:keepLines w:val="0"/>
        <w:keepNext w:val="0"/>
        <w:pageBreakBefore w:val="0"/>
        <w:spacing w:line="40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燃烧性能等级B1--600s的总放热量THRms≤2MJ</w:t>
      </w:r>
      <w:r/>
    </w:p>
    <w:p>
      <w:pPr>
        <w:numPr>
          <w:ilvl w:val="0"/>
          <w:numId w:val="0"/>
        </w:numPr>
        <w:ind w:left="0" w:firstLine="480"/>
        <w:keepLines w:val="0"/>
        <w:keepNext w:val="0"/>
        <w:pageBreakBefore w:val="0"/>
        <w:spacing w:line="40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燃烧性能等级B1-60s内焰尖高度Fs≤150mm</w:t>
      </w:r>
      <w:r/>
    </w:p>
    <w:p>
      <w:pPr>
        <w:numPr>
          <w:ilvl w:val="0"/>
          <w:numId w:val="0"/>
        </w:numPr>
        <w:ind w:left="0" w:firstLine="480"/>
        <w:keepLines w:val="0"/>
        <w:keepNext w:val="0"/>
        <w:pageBreakBefore w:val="0"/>
        <w:spacing w:line="40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燃烧性能等级B1-60s内无燃烧滴落物引燃滤纸现象</w:t>
      </w:r>
      <w:r/>
    </w:p>
    <w:p>
      <w:pPr>
        <w:numPr>
          <w:ilvl w:val="0"/>
          <w:numId w:val="0"/>
        </w:numPr>
        <w:ind w:left="0" w:firstLine="480"/>
        <w:keepLines w:val="0"/>
        <w:keepNext w:val="0"/>
        <w:pageBreakBefore w:val="0"/>
        <w:spacing w:line="40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（3）耐霉菌性(防霉性能)-黑曲霉、黄曲霉、腊叶芽枝霉、宛氏拟青霉、桔青霉、绿色木霉、出芽短梗霉、链格孢、土曲霉、绳状青霉、球毛壳霉、大毛霉、赭绿青霉、短柄帚霉、绿粘帚霉达到0级</w:t>
      </w:r>
      <w:r/>
    </w:p>
    <w:p>
      <w:pPr>
        <w:numPr>
          <w:ilvl w:val="0"/>
          <w:numId w:val="0"/>
        </w:numPr>
        <w:ind w:left="0" w:firstLine="480"/>
        <w:keepLines w:val="0"/>
        <w:keepNext w:val="0"/>
        <w:pageBreakBefore w:val="0"/>
        <w:spacing w:line="40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抗细菌率(抗菌率)金黄色葡萄球菌、大肠埃希氏菌、肺炎克雷伯氏菌、枯草芽孢杆菌、乙型副伤寒沙门氏菌、表皮葡萄球菌、鼠伤寒沙门氏菌、宋内志贺氏菌、乙型溶血性链球菌、铜绿假单胞菌、鲍曼不动杆菌、白色葡萄球菌、产气肠杆菌、甲型副伤寒沙门氏菌、粘质沙雷伯氏菌：抗菌率≥99%</w:t>
      </w:r>
      <w:r/>
    </w:p>
    <w:p>
      <w:pPr>
        <w:numPr>
          <w:ilvl w:val="0"/>
          <w:numId w:val="0"/>
        </w:numPr>
        <w:ind w:left="0" w:firstLine="480"/>
        <w:keepLines w:val="0"/>
        <w:keepNext w:val="0"/>
        <w:pageBreakBefore w:val="0"/>
        <w:spacing w:line="40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（5）力学性能-屈服强度ReL≤280MPa</w:t>
      </w:r>
      <w:r/>
    </w:p>
    <w:p>
      <w:pPr>
        <w:numPr>
          <w:ilvl w:val="0"/>
          <w:numId w:val="0"/>
        </w:numPr>
        <w:ind w:left="0" w:firstLine="480"/>
        <w:keepLines w:val="0"/>
        <w:keepNext w:val="0"/>
        <w:pageBreakBefore w:val="0"/>
        <w:spacing w:line="40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抗拉强度R270～410MPa</w:t>
      </w:r>
      <w:r/>
    </w:p>
    <w:p>
      <w:pPr>
        <w:numPr>
          <w:ilvl w:val="0"/>
          <w:numId w:val="0"/>
        </w:numPr>
        <w:ind w:left="0" w:firstLine="480"/>
        <w:keepLines w:val="0"/>
        <w:keepNext w:val="0"/>
        <w:pageBreakBefore w:val="0"/>
        <w:spacing w:line="40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（6）化学成分-C≤0.04%、Mn≤0.20%、P≤0.03%、S≤0.03%、AIt≥0.02%</w:t>
      </w:r>
      <w:r/>
    </w:p>
    <w:p>
      <w:pPr>
        <w:ind w:firstLine="480"/>
        <w:keepLines w:val="0"/>
        <w:keepNext w:val="0"/>
        <w:pageBreakBefore w:val="0"/>
        <w:spacing w:line="400" w:lineRule="exact"/>
        <w:rPr>
          <w:rFonts w:hint="eastAsia" w:ascii="宋体" w:hAnsi="宋体" w:eastAsia="宋体" w:cs="宋体"/>
          <w:sz w:val="24"/>
          <w:szCs w:val="24"/>
          <w:highlight w:val="none"/>
          <w:lang w:val="en-US" w:eastAsia="zh-CN"/>
        </w:rPr>
        <w:outlineLvl w:val="0"/>
      </w:pPr>
      <w:r>
        <w:rPr>
          <w:rFonts w:hint="eastAsia" w:ascii="宋体" w:hAnsi="宋体" w:eastAsia="宋体" w:cs="宋体"/>
          <w:sz w:val="24"/>
          <w:szCs w:val="24"/>
          <w:highlight w:val="none"/>
          <w:lang w:val="en-US" w:eastAsia="zh-CN"/>
        </w:rPr>
        <w:t xml:space="preserve">5.导轨</w:t>
      </w:r>
      <w:r/>
    </w:p>
    <w:p>
      <w:pPr>
        <w:numPr>
          <w:ilvl w:val="0"/>
          <w:numId w:val="0"/>
        </w:numPr>
        <w:ind w:left="-22" w:firstLine="480"/>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eastAsia="zh-CN"/>
        </w:rPr>
        <w:t xml:space="preserve">铜加速乙酸盐雾试验-连续喷雾</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00h-耐腐蚀等级≥9级</w:t>
      </w:r>
      <w:r/>
    </w:p>
    <w:p>
      <w:pPr>
        <w:numPr>
          <w:ilvl w:val="0"/>
          <w:numId w:val="0"/>
        </w:numPr>
        <w:ind w:left="-22" w:firstLine="480"/>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中性盐雾试验</w:t>
      </w:r>
      <w:r>
        <w:rPr>
          <w:rFonts w:hint="eastAsia" w:ascii="宋体" w:hAnsi="宋体" w:eastAsia="宋体" w:cs="宋体"/>
          <w:sz w:val="24"/>
          <w:szCs w:val="24"/>
          <w:lang w:val="en-US" w:eastAsia="zh-CN"/>
        </w:rPr>
        <w:t xml:space="preserve">≥300h</w:t>
      </w:r>
      <w:r>
        <w:rPr>
          <w:rFonts w:hint="eastAsia" w:ascii="宋体" w:hAnsi="宋体" w:eastAsia="宋体" w:cs="宋体"/>
          <w:sz w:val="24"/>
          <w:szCs w:val="24"/>
          <w:lang w:eastAsia="zh-CN"/>
        </w:rPr>
        <w:t xml:space="preserve">-涂(镀)层本身的耐腐蚀等级≥9级</w:t>
      </w:r>
      <w:r/>
    </w:p>
    <w:p>
      <w:pPr>
        <w:ind w:firstLine="480"/>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乙酸盐雾试验</w:t>
      </w:r>
      <w:r>
        <w:rPr>
          <w:rFonts w:hint="eastAsia" w:ascii="宋体" w:hAnsi="宋体" w:eastAsia="宋体" w:cs="宋体"/>
          <w:sz w:val="24"/>
          <w:szCs w:val="24"/>
          <w:lang w:val="en-US" w:eastAsia="zh-CN"/>
        </w:rPr>
        <w:t xml:space="preserve">≥300h</w:t>
      </w:r>
      <w:r>
        <w:rPr>
          <w:rFonts w:hint="eastAsia" w:ascii="宋体" w:hAnsi="宋体" w:eastAsia="宋体" w:cs="宋体"/>
          <w:sz w:val="24"/>
          <w:szCs w:val="24"/>
          <w:lang w:eastAsia="zh-CN"/>
        </w:rPr>
        <w:t xml:space="preserve">-涂涂(镀)层本身的耐腐蚀等级≥9级</w:t>
      </w:r>
      <w:r/>
    </w:p>
    <w:p>
      <w:pPr>
        <w:ind w:firstLine="480"/>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耐久性(商用型：循环次数120000次)-a)所有组件或连接件不应断裂损坏；b)通过手触压证实，用于紧固的组件不应松动；e)所有零部件不应有影响正常运作的变形或磨损；d)五金连接件不应松动；e)所有组件的功能不应损害；f)抽屉导轨及其组件应能正常工作</w:t>
      </w:r>
      <w:r/>
    </w:p>
    <w:p>
      <w:pPr>
        <w:ind w:firstLine="480"/>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）品质属性-产品有害物质-家具涂层可迁移元素-铅(Pb)≤90mg/kg、镉(Cd)≤50mg/kg、铬(Cr)≤25mg/kg、汞(Hg)≤25mg/kg、锑(Sb)≤60mg/kg、钡(Ba)≤1000mg/kg、硒(Se)≤500mg/kg、砷(As)≤25mg/kg</w:t>
      </w:r>
      <w:r/>
    </w:p>
    <w:p>
      <w:pPr>
        <w:numPr>
          <w:ilvl w:val="0"/>
          <w:numId w:val="0"/>
        </w:numPr>
        <w:ind w:left="0" w:firstLine="480"/>
        <w:keepLines w:val="0"/>
        <w:keepNext w:val="0"/>
        <w:pageBreakBefore w:val="0"/>
        <w:spacing w:line="400" w:lineRule="exact"/>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bidi="ar-SA"/>
        </w:rPr>
        <w:t xml:space="preserve">6.</w:t>
      </w:r>
      <w:r>
        <w:rPr>
          <w:rFonts w:hint="eastAsia" w:ascii="宋体" w:hAnsi="宋体" w:eastAsia="宋体" w:cs="宋体"/>
          <w:sz w:val="24"/>
          <w:szCs w:val="24"/>
          <w:lang w:val="en-US" w:eastAsia="zh-CN"/>
        </w:rPr>
        <w:t xml:space="preserve">锁具</w:t>
      </w:r>
      <w:r/>
    </w:p>
    <w:p>
      <w:pPr>
        <w:numPr>
          <w:ilvl w:val="0"/>
          <w:numId w:val="0"/>
        </w:numPr>
        <w:ind w:firstLine="480"/>
        <w:keepLines w:val="0"/>
        <w:keepNext w:val="0"/>
        <w:pageBreakBefore w:val="0"/>
        <w:spacing w:line="400" w:lineRule="exact"/>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（1）耐腐蚀试验-铜盐加速乙酸盐雾试验≥300h涂(镀)层本身的耐腐蚀等级≥9级</w:t>
      </w:r>
      <w:r/>
    </w:p>
    <w:p>
      <w:pPr>
        <w:numPr>
          <w:ilvl w:val="0"/>
          <w:numId w:val="0"/>
        </w:numPr>
        <w:ind w:firstLine="480"/>
        <w:keepLines w:val="0"/>
        <w:keepNext w:val="0"/>
        <w:pageBreakBefore w:val="0"/>
        <w:spacing w:line="400" w:lineRule="exact"/>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（2）耐霉菌性-黑曲霉、宛氏拟青霉、绿色木霉、出芽短梗霉、土曲霉、绳状青霉、球毛壳霉、大毛霉、产黄青霉、长枝木霉耐霉菌性等级达到0级</w:t>
      </w:r>
      <w:r/>
    </w:p>
    <w:p>
      <w:pPr>
        <w:numPr>
          <w:ilvl w:val="0"/>
          <w:numId w:val="0"/>
        </w:numPr>
        <w:ind w:firstLine="480"/>
        <w:keepLines w:val="0"/>
        <w:keepNext w:val="0"/>
        <w:pageBreakBefore w:val="0"/>
        <w:spacing w:line="400" w:lineRule="exact"/>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（3）抗菌性能-金黄色葡萄球菌、大肠杆菌、肺炎克雷伯氏菌、表皮葡萄球菌、鼠伤寒沙门氏菌、铜绿假单胞菌、鲍曼不动杆菌、藤黄微球菌、产气肠杆菌、粘质沙雷伯氏菌抑菌率≥99%</w:t>
      </w:r>
      <w:r/>
    </w:p>
    <w:p>
      <w:pPr>
        <w:numPr>
          <w:ilvl w:val="0"/>
          <w:numId w:val="0"/>
        </w:numPr>
        <w:ind w:left="0" w:firstLine="480"/>
        <w:keepLines w:val="0"/>
        <w:keepNext w:val="0"/>
        <w:pageBreakBefore w:val="0"/>
        <w:spacing w:line="400" w:lineRule="exact"/>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bidi="ar-SA"/>
        </w:rPr>
        <w:t xml:space="preserve">7.</w:t>
      </w:r>
      <w:r>
        <w:rPr>
          <w:rFonts w:hint="eastAsia" w:ascii="宋体" w:hAnsi="宋体" w:eastAsia="宋体" w:cs="宋体"/>
          <w:sz w:val="24"/>
          <w:szCs w:val="24"/>
          <w:lang w:val="en-US" w:eastAsia="zh-CN"/>
        </w:rPr>
        <w:t xml:space="preserve">铰链</w:t>
      </w:r>
      <w:r/>
    </w:p>
    <w:p>
      <w:pPr>
        <w:numPr>
          <w:ilvl w:val="0"/>
          <w:numId w:val="0"/>
        </w:numPr>
        <w:ind w:firstLine="480"/>
        <w:keepLines w:val="0"/>
        <w:keepNext w:val="0"/>
        <w:pageBreakBefore w:val="0"/>
        <w:spacing w:line="400" w:lineRule="exact"/>
        <w:rPr>
          <w:rFonts w:hint="eastAsia" w:ascii="宋体" w:hAnsi="宋体" w:eastAsia="宋体" w:cs="宋体"/>
          <w:sz w:val="24"/>
          <w:szCs w:val="24"/>
          <w:lang w:val="en-US" w:eastAsia="zh-CN"/>
        </w:rPr>
        <w:outlineLvl w:val="9"/>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（1）耐腐蚀试验-乙酸盐雾试验(AASS)≥300h镀(涂)层本身的耐腐蚀等级≥9级</w:t>
      </w:r>
      <w:r/>
    </w:p>
    <w:p>
      <w:pPr>
        <w:numPr>
          <w:ilvl w:val="0"/>
          <w:numId w:val="0"/>
        </w:numPr>
        <w:ind w:firstLine="480"/>
        <w:keepLines w:val="0"/>
        <w:keepNext w:val="0"/>
        <w:pageBreakBefore w:val="0"/>
        <w:spacing w:line="400" w:lineRule="exact"/>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（2）中性盐雾试验(NSS)连续喷雾≥300h镀(涂)层本身的耐腐蚀等级≥9级</w:t>
      </w:r>
      <w:r/>
    </w:p>
    <w:p>
      <w:pPr>
        <w:numPr>
          <w:ilvl w:val="0"/>
          <w:numId w:val="0"/>
        </w:numPr>
        <w:ind w:firstLine="480"/>
        <w:keepLines w:val="0"/>
        <w:keepNext w:val="0"/>
        <w:pageBreakBefore w:val="0"/>
        <w:spacing w:line="400" w:lineRule="exact"/>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铜盐加速乙酸盐雾试验≥300h镀(涂)层本身的耐腐蚀等级≥9级</w:t>
      </w:r>
      <w:r/>
    </w:p>
    <w:p>
      <w:pPr>
        <w:numPr>
          <w:ilvl w:val="0"/>
          <w:numId w:val="0"/>
        </w:numPr>
        <w:ind w:firstLine="480"/>
        <w:keepLines w:val="0"/>
        <w:keepNext w:val="0"/>
        <w:pageBreakBefore w:val="0"/>
        <w:spacing w:line="400" w:lineRule="exact"/>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（3）抗菌性能-抑菌率-金黄色葡萄球菌、大肠杆菌、肺炎克雷伯氏菌、枯草芽孢杆菌、表皮葡萄球菌、乙型溶血性链球菌、白色念珠菌、白色葡萄球菌、甲型副伤寒沙门氏菌、普通变形杆菌抗菌率≥99%</w:t>
      </w:r>
      <w:r/>
    </w:p>
    <w:p>
      <w:pPr>
        <w:numPr>
          <w:ilvl w:val="0"/>
          <w:numId w:val="0"/>
        </w:numPr>
        <w:ind w:firstLine="480"/>
        <w:keepLines w:val="0"/>
        <w:keepNext w:val="0"/>
        <w:pageBreakBefore w:val="0"/>
        <w:spacing w:line="400" w:lineRule="exact"/>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（4）功能：操作力-在耐久性试验前后，打开力和关闭力不应大于20N</w:t>
      </w:r>
      <w:r/>
    </w:p>
    <w:p>
      <w:pPr>
        <w:numPr>
          <w:ilvl w:val="0"/>
          <w:numId w:val="0"/>
        </w:numPr>
        <w:ind w:firstLine="480"/>
        <w:keepLines w:val="0"/>
        <w:keepNext w:val="0"/>
        <w:pageBreakBefore w:val="0"/>
        <w:spacing w:line="400" w:lineRule="exact"/>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垂直静载荷(载荷15kg)、水平静载荷(载荷30N)、耐久性(循环40000次)-a)所有组件或结合处不应断裂；b)通过手触压证实，用于紧固的组件不应松动；c)所有组件不应有影响正常运作的变形或磨损；d)固定组件不应松动：e)所有组件的功能不应损害；f)杯状暗铰链及其组件应能正常工作</w:t>
      </w:r>
      <w:r/>
    </w:p>
    <w:p>
      <w:pPr>
        <w:numPr>
          <w:ilvl w:val="0"/>
          <w:numId w:val="0"/>
        </w:numPr>
        <w:ind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t xml:space="preserve">8.脚轮</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实验室光源暴露试验：荧光紫外灯(120h)-灰卡变色评级：4-5 级 </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外观评价：无明显变色、无粉化、无气泡、无开裂、无剥落等现象</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有害物质限量要求-重金属-可溶性铅、可溶性镉、可溶性铬、可溶性汞未检出</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抗冲击性-脚轮的零部件不应出现分离和松动，脚轮的滚动、旋转和制动等功能不应受到损伤</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导电性≤10</w:t>
      </w:r>
      <w:r>
        <w:rPr>
          <w:rFonts w:hint="eastAsia" w:ascii="宋体" w:hAnsi="宋体" w:eastAsia="宋体" w:cs="宋体"/>
          <w:sz w:val="24"/>
          <w:szCs w:val="24"/>
          <w:vertAlign w:val="superscript"/>
          <w:lang w:val="en-US" w:eastAsia="zh-CN"/>
        </w:rPr>
        <w:t xml:space="preserve">5</w:t>
      </w:r>
      <w:r>
        <w:rPr>
          <w:rFonts w:hint="eastAsia" w:ascii="宋体" w:hAnsi="宋体" w:eastAsia="宋体" w:cs="宋体"/>
          <w:color w:val="auto"/>
          <w:sz w:val="24"/>
          <w:szCs w:val="24"/>
          <w:highlight w:val="none"/>
        </w:rPr>
        <w:t xml:space="preserve">Ω</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滚动阻力-水平牵引力不应超过</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%载荷 </w:t>
      </w:r>
      <w:r/>
    </w:p>
    <w:p>
      <w:pPr>
        <w:numPr>
          <w:ilvl w:val="0"/>
          <w:numId w:val="0"/>
        </w:numPr>
        <w:ind w:left="0" w:firstLine="480"/>
        <w:keepLines w:val="0"/>
        <w:keepNext w:val="0"/>
        <w:pageBreakBefore w:val="0"/>
        <w:spacing w:line="400" w:lineRule="exact"/>
        <w:widowControl w:val="off"/>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lang w:val="en-US" w:eastAsia="zh-CN"/>
        </w:rPr>
        <w:t xml:space="preserve">9.封边条</w:t>
      </w:r>
      <w:r/>
    </w:p>
    <w:p>
      <w:pPr>
        <w:numPr>
          <w:ilvl w:val="0"/>
          <w:numId w:val="0"/>
        </w:numPr>
        <w:ind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（1）抗菌性能值-金黄色葡萄球菌≥1.抗菌率金黄色葡萄球菌≥99.9%</w:t>
      </w:r>
      <w:r/>
    </w:p>
    <w:p>
      <w:pPr>
        <w:numPr>
          <w:ilvl w:val="0"/>
          <w:numId w:val="0"/>
        </w:numPr>
        <w:ind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（2）多环芳烃-苯并[a]芘未检出</w:t>
      </w:r>
      <w:r/>
    </w:p>
    <w:p>
      <w:pPr>
        <w:numPr>
          <w:ilvl w:val="0"/>
          <w:numId w:val="0"/>
        </w:numPr>
        <w:ind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多环芳烃-16种多环芳烃(PAH)总量：未检出</w:t>
      </w:r>
      <w:r/>
    </w:p>
    <w:p>
      <w:pPr>
        <w:numPr>
          <w:ilvl w:val="0"/>
          <w:numId w:val="0"/>
        </w:numPr>
        <w:ind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（3）理化性能</w:t>
      </w:r>
      <w:r/>
    </w:p>
    <w:p>
      <w:pPr>
        <w:numPr>
          <w:ilvl w:val="0"/>
          <w:numId w:val="0"/>
        </w:numPr>
        <w:ind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塑料封边条-甲醛释放量：未检出</w:t>
      </w:r>
      <w:r/>
    </w:p>
    <w:p>
      <w:pPr>
        <w:numPr>
          <w:ilvl w:val="0"/>
          <w:numId w:val="0"/>
        </w:numPr>
        <w:ind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塑料封边条-氯乙烯单体：未检出</w:t>
      </w:r>
      <w:r/>
    </w:p>
    <w:p>
      <w:pPr>
        <w:numPr>
          <w:ilvl w:val="0"/>
          <w:numId w:val="0"/>
        </w:numPr>
        <w:ind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塑料封边条-可迁移元素(可溶性重金属)-铅(Pb)镉(Cd)铬(Cr)汞(Hg)砷(As)-钡(Ba)锑(Sb)硒(Se)：未检出</w:t>
      </w:r>
      <w:r/>
    </w:p>
    <w:p>
      <w:pPr>
        <w:numPr>
          <w:ilvl w:val="0"/>
          <w:numId w:val="0"/>
        </w:numPr>
        <w:ind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塑料封边条-邻苯二甲酸酯(DBP、BBP、DEHP、DNOP、DINP和DIDP)的总量未检出</w:t>
      </w:r>
      <w:r/>
    </w:p>
    <w:p>
      <w:pPr>
        <w:numPr>
          <w:ilvl w:val="0"/>
          <w:numId w:val="0"/>
        </w:numPr>
        <w:ind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塑料封边条-多溴联苯(PBB)未检出</w:t>
      </w:r>
      <w:r/>
    </w:p>
    <w:p>
      <w:pPr>
        <w:numPr>
          <w:ilvl w:val="0"/>
          <w:numId w:val="0"/>
        </w:numPr>
        <w:ind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塑料封边条-多溴联苯醚(PBDE)未检出</w:t>
      </w:r>
      <w:r/>
    </w:p>
    <w:p>
      <w:pPr>
        <w:numPr>
          <w:ilvl w:val="0"/>
          <w:numId w:val="0"/>
        </w:numPr>
        <w:ind w:left="0"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lang w:val="en-US" w:eastAsia="zh-CN" w:bidi="ar-SA"/>
        </w:rPr>
        <w:t xml:space="preserve">10.</w:t>
      </w:r>
      <w:r>
        <w:rPr>
          <w:rFonts w:hint="eastAsia" w:ascii="宋体" w:hAnsi="宋体" w:eastAsia="宋体" w:cs="宋体"/>
          <w:bCs/>
          <w:color w:val="auto"/>
          <w:sz w:val="24"/>
          <w:szCs w:val="24"/>
          <w:highlight w:val="none"/>
          <w:lang w:val="en-US" w:eastAsia="zh-CN"/>
        </w:rPr>
        <w:t xml:space="preserve">实木多层板</w:t>
      </w:r>
      <w:r/>
    </w:p>
    <w:p>
      <w:pPr>
        <w:numPr>
          <w:ilvl w:val="0"/>
          <w:numId w:val="0"/>
        </w:numPr>
        <w:ind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（1）抑菌率-金黄色葡萄球菌≥99.9%、大肠杆菌≥99.9%、白色念珠菌≥99.9%</w:t>
      </w:r>
      <w:r/>
    </w:p>
    <w:p>
      <w:pPr>
        <w:numPr>
          <w:ilvl w:val="0"/>
          <w:numId w:val="0"/>
        </w:numPr>
        <w:ind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（2）防霉性能：黑曲霉0级、土曲霉0级、宛氏拟青霉0级、绳状青霉0级、出芽短梗霉0级、球毛壳霉0级</w:t>
      </w:r>
      <w:r/>
    </w:p>
    <w:p>
      <w:pPr>
        <w:numPr>
          <w:ilvl w:val="0"/>
          <w:numId w:val="0"/>
        </w:numPr>
        <w:ind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（3）密度≥0.7.螺钉力:板面≥1900；板边≥1600、</w:t>
      </w:r>
      <w:r/>
    </w:p>
    <w:p>
      <w:pPr>
        <w:numPr>
          <w:ilvl w:val="0"/>
          <w:numId w:val="0"/>
        </w:numPr>
        <w:ind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甲醛释放量(气候箱法)、苯、甲苯、二甲苯、总挥发性有机化合物(TVOC)、总挥发性有机化合物的释放率：未检出</w:t>
      </w:r>
      <w:r/>
    </w:p>
    <w:p>
      <w:pPr>
        <w:numPr>
          <w:ilvl w:val="0"/>
          <w:numId w:val="0"/>
        </w:numPr>
        <w:ind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sz w:val="24"/>
          <w:szCs w:val="24"/>
        </w:rPr>
        <w:t xml:space="preserve">▲</w:t>
      </w:r>
      <w:r>
        <w:rPr>
          <w:rFonts w:hint="eastAsia" w:ascii="宋体" w:hAnsi="宋体" w:eastAsia="宋体" w:cs="宋体"/>
          <w:bCs/>
          <w:color w:val="auto"/>
          <w:sz w:val="24"/>
          <w:szCs w:val="24"/>
          <w:highlight w:val="none"/>
          <w:lang w:val="en-US" w:eastAsia="zh-CN"/>
        </w:rPr>
        <w:t xml:space="preserve">（4）燃烧性能</w:t>
      </w:r>
      <w:r/>
    </w:p>
    <w:p>
      <w:pPr>
        <w:numPr>
          <w:ilvl w:val="0"/>
          <w:numId w:val="0"/>
        </w:numPr>
        <w:ind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燃烧性能等级-B₁(B)：燃烧增长速率指数FIGRA0.2MJ≤120W/s</w:t>
      </w:r>
      <w:r/>
    </w:p>
    <w:p>
      <w:pPr>
        <w:numPr>
          <w:ilvl w:val="0"/>
          <w:numId w:val="0"/>
        </w:numPr>
        <w:ind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燃烧性能等级-B₁(B)：火焰横向蔓延未达到试样长翼边缘</w:t>
      </w:r>
      <w:r/>
    </w:p>
    <w:p>
      <w:pPr>
        <w:numPr>
          <w:ilvl w:val="0"/>
          <w:numId w:val="0"/>
        </w:numPr>
        <w:ind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燃烧性能等级-B₁(B)：600s的总热量THR600s≤7.5</w:t>
      </w:r>
      <w:r/>
    </w:p>
    <w:p>
      <w:pPr>
        <w:numPr>
          <w:ilvl w:val="0"/>
          <w:numId w:val="0"/>
        </w:numPr>
        <w:ind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燃烧性能等级-B₁(B)：60s内焰尖高度FS≤30</w:t>
      </w:r>
      <w:r/>
    </w:p>
    <w:p>
      <w:pPr>
        <w:numPr>
          <w:ilvl w:val="0"/>
          <w:numId w:val="0"/>
        </w:numPr>
        <w:ind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燃烧性能等级-B₁(B)：60s内无燃烧滴落物引燃滤纸现象</w:t>
      </w:r>
      <w:r/>
    </w:p>
    <w:p>
      <w:pPr>
        <w:numPr>
          <w:ilvl w:val="0"/>
          <w:numId w:val="0"/>
        </w:numPr>
        <w:ind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t xml:space="preserve">11.刨花板</w:t>
      </w:r>
      <w:r/>
    </w:p>
    <w:p>
      <w:pPr>
        <w:numPr>
          <w:ilvl w:val="0"/>
          <w:numId w:val="0"/>
        </w:numPr>
        <w:ind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（1）甲醛释放量分级要求(1m3气候箱法)-未检出</w:t>
      </w:r>
      <w:r/>
    </w:p>
    <w:p>
      <w:pPr>
        <w:numPr>
          <w:ilvl w:val="0"/>
          <w:numId w:val="0"/>
        </w:numPr>
        <w:ind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sz w:val="24"/>
          <w:szCs w:val="24"/>
        </w:rPr>
        <w:t xml:space="preserve">▲</w:t>
      </w:r>
      <w:r>
        <w:rPr>
          <w:rFonts w:hint="eastAsia" w:ascii="宋体" w:hAnsi="宋体" w:eastAsia="宋体" w:cs="宋体"/>
          <w:bCs/>
          <w:color w:val="auto"/>
          <w:sz w:val="24"/>
          <w:szCs w:val="24"/>
          <w:highlight w:val="none"/>
          <w:lang w:val="en-US" w:eastAsia="zh-CN"/>
        </w:rPr>
        <w:t xml:space="preserve">（2）燃烧性能-燃烧性能等级-BI(B)燃烧增长速率指数FIGRA0.2MJ≤120W/s</w:t>
      </w:r>
      <w:r/>
    </w:p>
    <w:p>
      <w:pPr>
        <w:numPr>
          <w:ilvl w:val="0"/>
          <w:numId w:val="0"/>
        </w:numPr>
        <w:ind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燃烧性能等级-BI(B)-火焰横向蔓延未到达试样长翼边缘：检测合格</w:t>
      </w:r>
      <w:r/>
    </w:p>
    <w:p>
      <w:pPr>
        <w:numPr>
          <w:ilvl w:val="0"/>
          <w:numId w:val="0"/>
        </w:numPr>
        <w:ind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燃烧性能等级-B1(B)-600s的总放热量THR600s≤7.5MJ</w:t>
      </w:r>
      <w:r/>
    </w:p>
    <w:p>
      <w:pPr>
        <w:numPr>
          <w:ilvl w:val="0"/>
          <w:numId w:val="0"/>
        </w:numPr>
        <w:ind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燃烧性能等级-BI(B)-60s内焰尖高度Fs≤30mm</w:t>
      </w:r>
      <w:r/>
    </w:p>
    <w:p>
      <w:pPr>
        <w:numPr>
          <w:ilvl w:val="0"/>
          <w:numId w:val="0"/>
        </w:numPr>
        <w:ind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燃烧性能等级-BI(B)-60s内无燃烧滴落物引燃滤纸现象  </w:t>
      </w:r>
      <w:r/>
    </w:p>
    <w:p>
      <w:pPr>
        <w:numPr>
          <w:ilvl w:val="0"/>
          <w:numId w:val="0"/>
        </w:numPr>
        <w:ind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（3）理化性能-静曲强度≥25.0MPa  </w:t>
      </w:r>
      <w:r/>
    </w:p>
    <w:p>
      <w:pPr>
        <w:numPr>
          <w:ilvl w:val="0"/>
          <w:numId w:val="0"/>
        </w:numPr>
        <w:ind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弹性模量≥3000MPa </w:t>
      </w:r>
      <w:r/>
    </w:p>
    <w:p>
      <w:pPr>
        <w:numPr>
          <w:ilvl w:val="0"/>
          <w:numId w:val="0"/>
        </w:numPr>
        <w:ind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内结合强度≥0.6MPa </w:t>
      </w:r>
      <w:r/>
    </w:p>
    <w:p>
      <w:pPr>
        <w:numPr>
          <w:ilvl w:val="0"/>
          <w:numId w:val="0"/>
        </w:numPr>
        <w:ind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表面胶合强度≥0.60MPa </w:t>
      </w:r>
      <w:r/>
    </w:p>
    <w:p>
      <w:pPr>
        <w:numPr>
          <w:ilvl w:val="0"/>
          <w:numId w:val="0"/>
        </w:numPr>
        <w:ind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握螺钉力-板面≥1700N  </w:t>
      </w:r>
      <w:r/>
    </w:p>
    <w:p>
      <w:pPr>
        <w:numPr>
          <w:ilvl w:val="0"/>
          <w:numId w:val="0"/>
        </w:numPr>
        <w:ind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握螺钉力-板边≥1400N</w:t>
      </w:r>
      <w:r/>
    </w:p>
    <w:p>
      <w:pPr>
        <w:numPr>
          <w:ilvl w:val="0"/>
          <w:numId w:val="0"/>
        </w:numPr>
        <w:ind w:left="0"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t xml:space="preserve">12.海绵</w:t>
      </w:r>
      <w:r/>
    </w:p>
    <w:p>
      <w:pPr>
        <w:numPr>
          <w:ilvl w:val="0"/>
          <w:numId w:val="0"/>
        </w:numPr>
        <w:ind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（1）物理力学性能</w:t>
      </w:r>
      <w:r/>
    </w:p>
    <w:p>
      <w:pPr>
        <w:numPr>
          <w:ilvl w:val="0"/>
          <w:numId w:val="0"/>
        </w:numPr>
        <w:ind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75%压缩永久变形≤3.0</w:t>
      </w:r>
      <w:r/>
    </w:p>
    <w:p>
      <w:pPr>
        <w:numPr>
          <w:ilvl w:val="0"/>
          <w:numId w:val="0"/>
        </w:numPr>
        <w:ind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回弹率≥60%</w:t>
      </w:r>
      <w:r/>
    </w:p>
    <w:p>
      <w:pPr>
        <w:numPr>
          <w:ilvl w:val="0"/>
          <w:numId w:val="0"/>
        </w:numPr>
        <w:ind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拉伸强度≥180、伸长率≥200、撕裂强度≥10、干热老化后拉伸强度≥150、湿热老化后拉伸强度≥160</w:t>
      </w:r>
      <w:r/>
    </w:p>
    <w:p>
      <w:pPr>
        <w:numPr>
          <w:ilvl w:val="0"/>
          <w:numId w:val="0"/>
        </w:numPr>
        <w:ind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（2）恒定负荷反复压陷疲劳性能</w:t>
      </w:r>
      <w:r/>
    </w:p>
    <w:p>
      <w:pPr>
        <w:numPr>
          <w:ilvl w:val="0"/>
          <w:numId w:val="0"/>
        </w:numPr>
        <w:ind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BP-恒定负荷反复压陷疲劳后40%压陷硬度损失值(6万次)≤8</w:t>
      </w:r>
      <w:r/>
    </w:p>
    <w:p>
      <w:pPr>
        <w:numPr>
          <w:ilvl w:val="0"/>
          <w:numId w:val="0"/>
        </w:numPr>
        <w:ind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（3）抗引燃特性试验</w:t>
      </w:r>
      <w:r/>
    </w:p>
    <w:p>
      <w:pPr>
        <w:numPr>
          <w:ilvl w:val="0"/>
          <w:numId w:val="0"/>
        </w:numPr>
        <w:ind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阻燃I级-阴燃的香烟：阻燃I级</w:t>
      </w:r>
      <w:r/>
    </w:p>
    <w:p>
      <w:pPr>
        <w:numPr>
          <w:ilvl w:val="0"/>
          <w:numId w:val="0"/>
        </w:numPr>
        <w:ind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阻燃Ⅱ级-模拟火柴火焰：</w:t>
      </w:r>
      <w:r/>
    </w:p>
    <w:p>
      <w:pPr>
        <w:numPr>
          <w:ilvl w:val="0"/>
          <w:numId w:val="0"/>
        </w:numPr>
        <w:ind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（4）甲醛释放量、TVOC：未检出</w:t>
      </w:r>
      <w:r/>
    </w:p>
    <w:p>
      <w:pPr>
        <w:numPr>
          <w:ilvl w:val="0"/>
          <w:numId w:val="0"/>
        </w:numPr>
        <w:ind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sz w:val="24"/>
          <w:szCs w:val="24"/>
        </w:rPr>
        <w:t xml:space="preserve">▲</w:t>
      </w:r>
      <w:r>
        <w:rPr>
          <w:rFonts w:hint="eastAsia" w:ascii="宋体" w:hAnsi="宋体" w:eastAsia="宋体" w:cs="宋体"/>
          <w:bCs/>
          <w:color w:val="auto"/>
          <w:sz w:val="24"/>
          <w:szCs w:val="24"/>
          <w:highlight w:val="none"/>
          <w:lang w:val="en-US" w:eastAsia="zh-CN"/>
        </w:rPr>
        <w:t xml:space="preserve">（5）燃烧性能等级-B₁单位面积热释放速率峰值≤400</w:t>
      </w:r>
      <w:r/>
    </w:p>
    <w:p>
      <w:pPr>
        <w:numPr>
          <w:ilvl w:val="0"/>
          <w:numId w:val="0"/>
        </w:numPr>
        <w:ind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燃烧性能等级-B₁平均燃烧时间≤30</w:t>
      </w:r>
      <w:r/>
    </w:p>
    <w:p>
      <w:pPr>
        <w:numPr>
          <w:ilvl w:val="0"/>
          <w:numId w:val="0"/>
        </w:numPr>
        <w:ind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燃烧性能等级-B₁平均燃烧高度≤180</w:t>
      </w:r>
      <w:r/>
    </w:p>
    <w:p>
      <w:pPr>
        <w:numPr>
          <w:ilvl w:val="0"/>
          <w:numId w:val="0"/>
        </w:numPr>
        <w:ind w:left="0"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lang w:val="en-US" w:eastAsia="zh-CN" w:bidi="ar-SA"/>
        </w:rPr>
        <w:t xml:space="preserve">13.</w:t>
      </w:r>
      <w:r>
        <w:rPr>
          <w:rFonts w:hint="eastAsia" w:ascii="宋体" w:hAnsi="宋体" w:eastAsia="宋体" w:cs="宋体"/>
          <w:bCs/>
          <w:color w:val="auto"/>
          <w:sz w:val="24"/>
          <w:szCs w:val="24"/>
          <w:highlight w:val="none"/>
          <w:lang w:val="en-US" w:eastAsia="zh-CN"/>
        </w:rPr>
        <w:t xml:space="preserve">网布</w:t>
      </w:r>
      <w:r/>
    </w:p>
    <w:p>
      <w:pPr>
        <w:numPr>
          <w:ilvl w:val="0"/>
          <w:numId w:val="0"/>
        </w:numPr>
        <w:ind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（1）抑菌性能</w:t>
      </w:r>
      <w:r/>
    </w:p>
    <w:p>
      <w:pPr>
        <w:numPr>
          <w:ilvl w:val="0"/>
          <w:numId w:val="0"/>
        </w:numPr>
        <w:ind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抑菌率-金黄色葡萄球菌≥99.9%、白色葡萄球菌≥99.9%</w:t>
      </w:r>
      <w:r/>
    </w:p>
    <w:p>
      <w:pPr>
        <w:numPr>
          <w:ilvl w:val="0"/>
          <w:numId w:val="0"/>
        </w:numPr>
        <w:ind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抑菌圈宽度D-金黄色葡萄球菌≤0.4.表皮葡萄球菌≤0.4.白色葡萄球菌≤0.4</w:t>
      </w:r>
      <w:r/>
    </w:p>
    <w:p>
      <w:pPr>
        <w:numPr>
          <w:ilvl w:val="0"/>
          <w:numId w:val="0"/>
        </w:numPr>
        <w:ind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（2）防霉性能</w:t>
      </w:r>
      <w:r/>
    </w:p>
    <w:p>
      <w:pPr>
        <w:numPr>
          <w:ilvl w:val="0"/>
          <w:numId w:val="0"/>
        </w:numPr>
        <w:ind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黑曲霉、绳状青霉、绿色木霉、宛氏拟青霉、桔青霉、黄曲霉：0级</w:t>
      </w:r>
      <w:r/>
    </w:p>
    <w:p>
      <w:pPr>
        <w:numPr>
          <w:ilvl w:val="0"/>
          <w:numId w:val="0"/>
        </w:numPr>
        <w:ind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（3）安全技术要求</w:t>
      </w:r>
      <w:r/>
    </w:p>
    <w:p>
      <w:pPr>
        <w:numPr>
          <w:ilvl w:val="0"/>
          <w:numId w:val="0"/>
        </w:numPr>
        <w:ind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甲醛含量-A类：未检出、pH值-A类：4.0~7.5</w:t>
      </w:r>
      <w:r/>
    </w:p>
    <w:p>
      <w:pPr>
        <w:numPr>
          <w:ilvl w:val="0"/>
          <w:numId w:val="0"/>
        </w:numPr>
        <w:ind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染色牢度-耐水(变色、沾色)-A类：变色≥4.沾色≥4</w:t>
      </w:r>
      <w:r/>
    </w:p>
    <w:p>
      <w:pPr>
        <w:numPr>
          <w:ilvl w:val="0"/>
          <w:numId w:val="0"/>
        </w:numPr>
        <w:ind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耐酸汗渍(变色、沾色)-A类：变色≥4.沾色≥4</w:t>
      </w:r>
      <w:r/>
    </w:p>
    <w:p>
      <w:pPr>
        <w:numPr>
          <w:ilvl w:val="0"/>
          <w:numId w:val="0"/>
        </w:numPr>
        <w:ind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耐碱汗渍(变色、沾色)-A类：变色≥4.沾色≥4</w:t>
      </w:r>
      <w:r/>
    </w:p>
    <w:p>
      <w:pPr>
        <w:numPr>
          <w:ilvl w:val="0"/>
          <w:numId w:val="0"/>
        </w:numPr>
        <w:ind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耐干摩擦-A类：≥4</w:t>
      </w:r>
      <w:r/>
    </w:p>
    <w:p>
      <w:pPr>
        <w:numPr>
          <w:ilvl w:val="0"/>
          <w:numId w:val="0"/>
        </w:numPr>
        <w:ind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耐唾液(变色、沾色)-A类：≥4</w:t>
      </w:r>
      <w:r/>
    </w:p>
    <w:p>
      <w:pPr>
        <w:numPr>
          <w:ilvl w:val="0"/>
          <w:numId w:val="0"/>
        </w:numPr>
        <w:ind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异味：无异味</w:t>
      </w:r>
      <w:r/>
    </w:p>
    <w:p>
      <w:pPr>
        <w:numPr>
          <w:ilvl w:val="0"/>
          <w:numId w:val="0"/>
        </w:numPr>
        <w:ind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可分解致癌芳香胺染料：未检出</w:t>
      </w:r>
      <w:r/>
    </w:p>
    <w:p>
      <w:pPr>
        <w:numPr>
          <w:ilvl w:val="0"/>
          <w:numId w:val="0"/>
        </w:numPr>
        <w:ind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sz w:val="24"/>
          <w:szCs w:val="24"/>
        </w:rPr>
        <w:t xml:space="preserve">▲</w:t>
      </w:r>
      <w:r>
        <w:rPr>
          <w:rFonts w:hint="eastAsia" w:ascii="宋体" w:hAnsi="宋体" w:eastAsia="宋体" w:cs="宋体"/>
          <w:bCs/>
          <w:color w:val="auto"/>
          <w:sz w:val="24"/>
          <w:szCs w:val="24"/>
          <w:highlight w:val="none"/>
          <w:lang w:val="en-US" w:eastAsia="zh-CN"/>
        </w:rPr>
        <w:t xml:space="preserve">（4）燃烧性能</w:t>
      </w:r>
      <w:r/>
    </w:p>
    <w:p>
      <w:pPr>
        <w:numPr>
          <w:ilvl w:val="0"/>
          <w:numId w:val="0"/>
        </w:numPr>
        <w:ind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阻燃I级-阴燃的香烟：检测合格</w:t>
      </w:r>
      <w:r/>
    </w:p>
    <w:p>
      <w:pPr>
        <w:numPr>
          <w:ilvl w:val="0"/>
          <w:numId w:val="0"/>
        </w:numPr>
        <w:ind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阻燃Ⅱ级-模拟火柴火焰：检测合格</w:t>
      </w:r>
      <w:r/>
    </w:p>
    <w:p>
      <w:pPr>
        <w:numPr>
          <w:ilvl w:val="0"/>
          <w:numId w:val="0"/>
        </w:numPr>
        <w:ind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燃烧性能等级-B₁氧指数≥32</w:t>
      </w:r>
      <w:r/>
    </w:p>
    <w:p>
      <w:pPr>
        <w:numPr>
          <w:ilvl w:val="0"/>
          <w:numId w:val="0"/>
        </w:numPr>
        <w:ind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燃烧性能等级-B₁损毁长度：≤10</w:t>
      </w:r>
      <w:r/>
    </w:p>
    <w:p>
      <w:pPr>
        <w:numPr>
          <w:ilvl w:val="0"/>
          <w:numId w:val="0"/>
        </w:numPr>
        <w:ind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燃烧性能等级-B₁续燃时间：≤5s</w:t>
      </w:r>
      <w:r/>
    </w:p>
    <w:p>
      <w:pPr>
        <w:numPr>
          <w:ilvl w:val="0"/>
          <w:numId w:val="0"/>
        </w:numPr>
        <w:ind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燃烧性能等级-B₁阴燃时间：≤5s</w:t>
      </w:r>
      <w:r/>
    </w:p>
    <w:p>
      <w:pPr>
        <w:numPr>
          <w:ilvl w:val="0"/>
          <w:numId w:val="0"/>
        </w:numPr>
        <w:ind w:firstLine="480"/>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燃烧性能等级-B₁燃烧滴落物未引起脱脂棉燃烧或阴燃</w:t>
      </w:r>
      <w:r/>
    </w:p>
    <w:p>
      <w:pPr>
        <w:ind w:firstLine="480"/>
        <w:keepLines w:val="0"/>
        <w:keepNext w:val="0"/>
        <w:pageBreakBefore w:val="0"/>
        <w:spacing w:line="400" w:lineRule="exact"/>
        <w:rPr>
          <w:rFonts w:hint="eastAsia" w:ascii="宋体" w:hAnsi="宋体" w:eastAsia="宋体" w:cs="宋体"/>
          <w:sz w:val="24"/>
          <w:szCs w:val="24"/>
          <w:lang w:val="en-US" w:eastAsia="zh-CN"/>
        </w:rPr>
        <w:outlineLvl w:val="0"/>
      </w:pPr>
      <w:r>
        <w:rPr>
          <w:rFonts w:hint="eastAsia" w:ascii="宋体" w:hAnsi="宋体" w:eastAsia="宋体" w:cs="宋体"/>
          <w:sz w:val="24"/>
          <w:szCs w:val="24"/>
          <w:highlight w:val="none"/>
          <w:lang w:val="en-US" w:eastAsia="zh-CN"/>
        </w:rPr>
        <w:t xml:space="preserve">14.</w:t>
      </w:r>
      <w:r>
        <w:rPr>
          <w:rFonts w:hint="eastAsia" w:ascii="宋体" w:hAnsi="宋体" w:eastAsia="宋体" w:cs="宋体"/>
          <w:sz w:val="24"/>
          <w:szCs w:val="24"/>
          <w:lang w:val="en-US" w:eastAsia="zh-CN"/>
        </w:rPr>
        <w:t xml:space="preserve">医用环保治疗柜</w:t>
      </w:r>
      <w:r/>
    </w:p>
    <w:p>
      <w:pPr>
        <w:ind w:firstLine="480"/>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（1）燃烧性能-组件/其他家具的燃烧性能-阻燃1级-热释放速率峰值≤140kW</w:t>
      </w:r>
      <w:r/>
    </w:p>
    <w:p>
      <w:pPr>
        <w:ind w:firstLine="480"/>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组件/其他家具的燃烧性能-阻燃1级-5min内放出的总能量≤30MJ</w:t>
      </w:r>
      <w:r/>
    </w:p>
    <w:p>
      <w:pPr>
        <w:ind w:firstLine="480"/>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组件/其他家具的燃烧性能-阻燃1级-最大烟密度≤75%</w:t>
      </w:r>
      <w:r/>
    </w:p>
    <w:p>
      <w:pPr>
        <w:ind w:firstLine="480"/>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（2）多环芳烃-苯并[a]芘：未检出、多环芳烃-16种多环芳烃(PAH)总量：未检出</w:t>
      </w:r>
      <w:r/>
    </w:p>
    <w:p>
      <w:pPr>
        <w:ind w:firstLine="480"/>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（3）金属表面耐腐蚀试验-中性盐雾试验≥300h涂(镀)层本身的耐腐蚀等级涂(镀)层本身的耐腐蚀等级≥10级</w:t>
      </w:r>
      <w:r/>
    </w:p>
    <w:p>
      <w:pPr>
        <w:ind w:firstLine="480"/>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乙酸盐雾试验≥300h-涂(镀)层本身的耐腐蚀等级；涂(镀)层本身的耐腐蚀等级≥9级</w:t>
      </w:r>
      <w:r/>
    </w:p>
    <w:p>
      <w:pPr>
        <w:numPr>
          <w:ilvl w:val="0"/>
          <w:numId w:val="0"/>
        </w:numPr>
        <w:ind w:firstLine="480"/>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bidi="ar-SA"/>
        </w:rPr>
        <w:t xml:space="preserve">（4）</w:t>
      </w:r>
      <w:r>
        <w:rPr>
          <w:rFonts w:hint="eastAsia" w:ascii="宋体" w:hAnsi="宋体" w:eastAsia="宋体" w:cs="宋体"/>
          <w:sz w:val="24"/>
          <w:szCs w:val="24"/>
          <w:lang w:val="en-US" w:eastAsia="zh-CN"/>
        </w:rPr>
        <w:t xml:space="preserve">产品寿命-柜类：拉门耐久性(挂质量为1kg重物两个，循环次数32万次)-a)所有零部件无断裂或豁裂：b)用手撒压某些应为牢固的部件，应无永久性松动；c)所有零部件应无影响使用功能的磨损或变形；d)五金连接件应无松动：e)活动部件(门、抽屉等)开关应灵便：f)零部件无明显位移变化。g)搁板弯曲挠度变化值≤0.5%;)顶板、底板最大挠度≤0.5%;)</w:t>
      </w:r>
      <w:r/>
    </w:p>
    <w:p>
      <w:pPr>
        <w:numPr>
          <w:ilvl w:val="0"/>
          <w:numId w:val="0"/>
        </w:numPr>
        <w:ind w:firstLine="480"/>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bidi="ar-SA"/>
        </w:rPr>
        <w:t xml:space="preserve">（5）</w:t>
      </w:r>
      <w:r>
        <w:rPr>
          <w:rFonts w:hint="eastAsia" w:ascii="宋体" w:hAnsi="宋体" w:eastAsia="宋体" w:cs="宋体"/>
          <w:sz w:val="24"/>
          <w:szCs w:val="24"/>
          <w:lang w:val="en-US" w:eastAsia="zh-CN"/>
        </w:rPr>
        <w:t xml:space="preserve">产品有害物质-甲醛释放量(气候箱法)-≤0.05mg/m3.苯≤0.05mg/m3.甲苯≤0.1mg/m3.二甲苯≤0.1mg/m3.总挥发性有机化合物(TVOC≤0.3mg/m3</w:t>
      </w:r>
      <w:r/>
    </w:p>
    <w:p>
      <w:pPr>
        <w:ind w:firstLine="480"/>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产品有害物质-家具涂层可迁移元素-铅(Pb)≤90mg/kg、镉(Cd)≤50mg/kg、铬(Cr)≤25mg/kg、汞(Hg)≤25mg/kg、锑(Sb)≤60mg/kg钡(Ba)≤1000mg/kg、硒(Se)≤500mg/kg、砷(As)≤25mg/kg</w:t>
      </w:r>
      <w:r/>
    </w:p>
    <w:p>
      <w:pPr>
        <w:ind w:firstLine="480"/>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（6）耐霉菌性-耐霉菌性等级-黑曲霉、黄曲霉、蜡叶芽枝霉(腊叶芽枝毒)、桔青霉、绿色木霉、出芽短梗霉、土曲霉、赭绿青霉、短柄帚霉、绿粘帚霉耐霉菌性等级达到0级</w:t>
      </w:r>
      <w:r/>
    </w:p>
    <w:p>
      <w:pPr>
        <w:ind w:firstLine="480"/>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抗菌性能-抑菌率(抗菌率)-金黄色葡萄球菌、大肠埃希氏菌、肺炎克雷伯氏菌、枯草芽孢杆菌、表皮葡萄球菌、鼠伤寒沙门氏菌、宋内志贺氏菌、白色念珠菌、铜绿假单胞菌、粪肠球菌、粘质沙雷伯氏菌抗菌率≥99%</w:t>
      </w:r>
      <w:r/>
    </w:p>
    <w:p>
      <w:pPr>
        <w:ind w:firstLine="480"/>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（8）皮肤腐蚀性-急性皮肤刺激性在本次试验条件下，受试物对新西兰兔急性皮肤刺激性试验结果应为无刺激性</w:t>
      </w:r>
      <w:r/>
    </w:p>
    <w:p>
      <w:pPr>
        <w:ind w:firstLine="480"/>
        <w:keepLines w:val="0"/>
        <w:keepNext w:val="0"/>
        <w:pageBreakBefore w:val="0"/>
        <w:spacing w:line="400" w:lineRule="exact"/>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15.处置柜</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抗细菌性能：大肠杆菌、金黄色葡萄球菌、肺炎克雷伯氏菌、铜绿假单胞菌、藤黄微球菌、表皮葡萄球菌、变化考克氏菌、耐甲氧西林金黄色葡萄球菌，抗细菌率均≥99％</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表面耐污染性能：硫酸（98%）、盐酸（37%）、四氯化碳、苯、苯酚饱和液、氯化镁（10%）、1,2-二氯乙烷（二氯乙烷）、对甲酚、草酸、亚甲基蓝（5%）、丙酮、乙醚、甲酸（88%）、无水甲醇、乙酸正戊酯，氯化钠（5%）、三氯乙烯、异丙醇、异辛烷、硫酸钠饱和液等139种污染物，均5级，无明显变化</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弹性模量≥10400Mpa；抗拉强度≥68Mpa</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表面耐龟裂性能，表面耐湿热性能，表面耐干热性能 等级均为5级</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耐沸水性能：质量增加百分率≤0.01%、厚度增加百分率≤0.06%，表面质量评级：5级；无变化，边缘质量评级：5级；无明显变化</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抗冲击性能（冲击高度1m）：压痕直径＜5.2mm</w:t>
      </w:r>
      <w:r/>
    </w:p>
    <w:p>
      <w:pPr>
        <w:ind w:firstLine="480"/>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表面耐磨性能1120r，无露底</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尺寸稳定性：纵向、横向≤0.03%</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漆膜附着力达六级；静曲强度≥145Mpa</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拉伸强度≥145Mpa</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耐臭氧老化（72h）：外观无明显变化</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甲醛释放量（气候箱法）ENF级</w:t>
      </w:r>
      <w:r>
        <w:rPr>
          <w:rFonts w:hint="eastAsia" w:ascii="宋体" w:hAnsi="宋体" w:eastAsia="宋体" w:cs="宋体"/>
          <w:sz w:val="24"/>
          <w:szCs w:val="24"/>
          <w:lang w:val="en-US" w:eastAsia="zh-CN"/>
        </w:rPr>
        <w:t xml:space="preserve">≤0.025mg/m</w:t>
      </w:r>
      <w:r>
        <w:rPr>
          <w:rFonts w:hint="eastAsia" w:ascii="宋体" w:hAnsi="宋体" w:eastAsia="宋体" w:cs="宋体"/>
          <w:sz w:val="24"/>
          <w:szCs w:val="24"/>
          <w:vertAlign w:val="superscript"/>
          <w:lang w:val="en-US" w:eastAsia="zh-CN"/>
        </w:rPr>
        <w:t xml:space="preserve">3</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氙弧灯老化≥</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00h，灰色样卡评级5级。样品无变色、发粘、裂纹等异常</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阻燃</w:t>
      </w:r>
      <w:r>
        <w:rPr>
          <w:rFonts w:hint="eastAsia" w:ascii="宋体" w:hAnsi="宋体" w:eastAsia="宋体" w:cs="宋体"/>
          <w:sz w:val="24"/>
          <w:szCs w:val="24"/>
          <w:lang w:val="en-US" w:eastAsia="zh-CN"/>
        </w:rPr>
        <w:t xml:space="preserve">达到</w:t>
      </w:r>
      <w:r>
        <w:rPr>
          <w:rFonts w:hint="eastAsia" w:ascii="宋体" w:hAnsi="宋体" w:eastAsia="宋体" w:cs="宋体"/>
          <w:sz w:val="24"/>
          <w:szCs w:val="24"/>
        </w:rPr>
        <w:t xml:space="preserve">1级</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环境应力开裂：100h未开裂</w:t>
      </w:r>
      <w:r/>
    </w:p>
    <w:p>
      <w:pPr>
        <w:numPr>
          <w:ilvl w:val="0"/>
          <w:numId w:val="0"/>
        </w:numPr>
        <w:ind w:firstLine="480"/>
        <w:jc w:val="left"/>
        <w:keepLines w:val="0"/>
        <w:keepNext w:val="0"/>
        <w:pageBreakBefore w:val="0"/>
        <w:spacing w:line="400" w:lineRule="exact"/>
        <w:widowControl/>
        <w:rPr>
          <w:rFonts w:hint="eastAsia" w:ascii="宋体" w:hAnsi="宋体" w:eastAsia="宋体" w:cs="宋体"/>
          <w:sz w:val="24"/>
          <w:szCs w:val="24"/>
          <w:highlight w:val="none"/>
          <w:lang w:val="en-US" w:eastAsia="zh-CN"/>
        </w:rPr>
        <w:outlineLvl w:val="0"/>
      </w:pPr>
      <w:r>
        <w:rPr>
          <w:rFonts w:hint="eastAsia" w:ascii="宋体" w:hAnsi="宋体" w:eastAsia="宋体" w:cs="宋体"/>
          <w:sz w:val="24"/>
          <w:szCs w:val="24"/>
          <w:lang w:val="en-US" w:eastAsia="zh-CN" w:bidi="ar-SA"/>
        </w:rPr>
        <w:t xml:space="preserve">16.</w:t>
      </w:r>
      <w:r>
        <w:rPr>
          <w:rFonts w:hint="eastAsia" w:ascii="宋体" w:hAnsi="宋体" w:eastAsia="宋体" w:cs="宋体"/>
          <w:sz w:val="24"/>
          <w:szCs w:val="24"/>
          <w:highlight w:val="none"/>
          <w:lang w:val="en-US" w:eastAsia="zh-CN"/>
        </w:rPr>
        <w:t xml:space="preserve">毒麻药品柜</w:t>
      </w:r>
      <w:r/>
    </w:p>
    <w:p>
      <w:pPr>
        <w:ind w:firstLine="480"/>
        <w:jc w:val="left"/>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rPr>
        <w:t xml:space="preserve">▲</w:t>
      </w:r>
      <w:r>
        <w:rPr>
          <w:rFonts w:hint="eastAsia" w:ascii="宋体" w:hAnsi="宋体" w:eastAsia="宋体" w:cs="宋体"/>
          <w:sz w:val="24"/>
          <w:szCs w:val="24"/>
          <w:highlight w:val="none"/>
          <w:lang w:val="en-US" w:eastAsia="zh-CN"/>
        </w:rPr>
        <w:t xml:space="preserve">（1）燃烧性能：热释放速率峰值≤145kW，</w:t>
      </w:r>
      <w:r/>
    </w:p>
    <w:p>
      <w:pPr>
        <w:ind w:firstLine="480"/>
        <w:jc w:val="left"/>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5min内放出的总能量≤20MJ，最大烟密度≤65%；</w:t>
      </w:r>
      <w:r/>
    </w:p>
    <w:p>
      <w:pPr>
        <w:ind w:firstLine="480"/>
        <w:jc w:val="left"/>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（2）金属表面耐腐蚀试验：中性盐雾试验，连续喷雾≥300h，涂(镀)层本身的耐腐蚀等级≥9级；中性盐雾试验，连续喷雾≥300h，涂(镀)层对基体的保护等级≥9级；</w:t>
      </w:r>
      <w:r/>
    </w:p>
    <w:p>
      <w:pPr>
        <w:ind w:firstLine="480"/>
        <w:jc w:val="left"/>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产品有害物质：甲醛释放量≤0.05mg/m3，苯≤0.05mg/m3，甲苯≤0.1mg/m3，二甲苯≤0.1mg/m3，总挥发性有机化合物(TVOC)≤0.3mg/m3，铅(Pb)≤90mg/kg，镉(Cd)≤50mg/kg，铬(Cr)≤25mg/kg，汞(Hg)≤25mg/kg，锑(Sb)≤60mg/kg，钡(Ba)≤1000mg/kg，硒(Se)≤500mg/kg，砷(As)≤25mg/kg；</w:t>
      </w:r>
      <w:r/>
    </w:p>
    <w:p>
      <w:pPr>
        <w:ind w:firstLine="480"/>
        <w:jc w:val="left"/>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（4）抗菌性能:金黄色葡萄球菌、大肠埃希氏菌、肺炎克雷伯氏菌、白色念珠菌、铜绿假单胞菌：抗菌率≥99%；</w:t>
      </w:r>
      <w:r/>
    </w:p>
    <w:p>
      <w:pPr>
        <w:numPr>
          <w:ilvl w:val="0"/>
          <w:numId w:val="0"/>
        </w:numPr>
        <w:ind w:firstLine="480"/>
        <w:jc w:val="left"/>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bidi="ar-SA"/>
        </w:rPr>
        <w:t xml:space="preserve">（5）</w:t>
      </w:r>
      <w:r>
        <w:rPr>
          <w:rFonts w:hint="eastAsia" w:ascii="宋体" w:hAnsi="宋体" w:eastAsia="宋体" w:cs="宋体"/>
          <w:sz w:val="24"/>
          <w:szCs w:val="24"/>
        </w:rPr>
        <w:t xml:space="preserve">▲</w:t>
      </w:r>
      <w:r>
        <w:rPr>
          <w:rFonts w:hint="eastAsia" w:ascii="宋体" w:hAnsi="宋体" w:eastAsia="宋体" w:cs="宋体"/>
          <w:sz w:val="24"/>
          <w:szCs w:val="24"/>
          <w:highlight w:val="none"/>
          <w:lang w:val="en-US" w:eastAsia="zh-CN"/>
        </w:rPr>
        <w:t xml:space="preserve">急性皮肤刺激性试验结果为无刺激性</w:t>
      </w:r>
      <w:r/>
    </w:p>
    <w:p>
      <w:pPr>
        <w:numPr>
          <w:ilvl w:val="0"/>
          <w:numId w:val="0"/>
        </w:numPr>
        <w:ind w:firstLine="480"/>
        <w:jc w:val="left"/>
        <w:keepLines w:val="0"/>
        <w:keepNext w:val="0"/>
        <w:pageBreakBefore w:val="0"/>
        <w:spacing w:line="400" w:lineRule="exact"/>
        <w:widowControl/>
        <w:rPr>
          <w:rFonts w:hint="eastAsia" w:ascii="宋体" w:hAnsi="宋体" w:eastAsia="宋体" w:cs="宋体"/>
          <w:sz w:val="24"/>
          <w:szCs w:val="24"/>
          <w:highlight w:val="none"/>
          <w:lang w:val="en-US" w:eastAsia="zh-CN"/>
        </w:rPr>
        <w:outlineLvl w:val="0"/>
      </w:pPr>
      <w:r>
        <w:rPr>
          <w:rFonts w:hint="eastAsia" w:ascii="宋体" w:hAnsi="宋体" w:eastAsia="宋体" w:cs="宋体"/>
          <w:sz w:val="24"/>
          <w:szCs w:val="24"/>
          <w:highlight w:val="none"/>
          <w:lang w:val="en-US" w:eastAsia="zh-CN"/>
        </w:rPr>
        <w:t xml:space="preserve">17.主机柜</w:t>
      </w:r>
      <w:r/>
    </w:p>
    <w:p>
      <w:pPr>
        <w:numPr>
          <w:ilvl w:val="0"/>
          <w:numId w:val="0"/>
        </w:numPr>
        <w:ind w:firstLine="480"/>
        <w:jc w:val="left"/>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（1）形状和位置公差：平整度mm：面板、正视面板件≤0.10；</w:t>
      </w:r>
      <w:r/>
    </w:p>
    <w:p>
      <w:pPr>
        <w:numPr>
          <w:ilvl w:val="0"/>
          <w:numId w:val="0"/>
        </w:numPr>
        <w:ind w:firstLine="480"/>
        <w:jc w:val="left"/>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位差度mm：门与框架、们与门、抽屉与框架、抽屉与门、抽屈与抽屉相邻两表面间的距离偏差(非设计要求的距离)≤1.0；</w:t>
      </w:r>
      <w:r/>
    </w:p>
    <w:p>
      <w:pPr>
        <w:numPr>
          <w:ilvl w:val="0"/>
          <w:numId w:val="0"/>
        </w:numPr>
        <w:ind w:firstLine="480"/>
        <w:jc w:val="left"/>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分缝mm：所有分缝(非设计要求时)≤2.0；</w:t>
      </w:r>
      <w:r/>
    </w:p>
    <w:p>
      <w:pPr>
        <w:numPr>
          <w:ilvl w:val="0"/>
          <w:numId w:val="0"/>
        </w:numPr>
        <w:ind w:firstLine="480"/>
        <w:jc w:val="left"/>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下垂度mm：抽屉≤10；</w:t>
      </w:r>
      <w:r/>
    </w:p>
    <w:p>
      <w:pPr>
        <w:numPr>
          <w:ilvl w:val="0"/>
          <w:numId w:val="0"/>
        </w:numPr>
        <w:ind w:firstLine="480"/>
        <w:jc w:val="left"/>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摆动度mm：抽屉≤15；</w:t>
      </w:r>
      <w:r/>
    </w:p>
    <w:p>
      <w:pPr>
        <w:numPr>
          <w:ilvl w:val="0"/>
          <w:numId w:val="0"/>
        </w:numPr>
        <w:ind w:firstLine="480"/>
        <w:jc w:val="left"/>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着地平稳性mm：底脚与水平面的差值≤2.0；</w:t>
      </w:r>
      <w:r/>
    </w:p>
    <w:p>
      <w:pPr>
        <w:numPr>
          <w:ilvl w:val="0"/>
          <w:numId w:val="0"/>
        </w:numPr>
        <w:ind w:firstLine="480"/>
        <w:jc w:val="left"/>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（2）理化性能要求：金属喷漆(塑)涂层：硬度≥4H；</w:t>
      </w:r>
      <w:r/>
    </w:p>
    <w:p>
      <w:pPr>
        <w:numPr>
          <w:ilvl w:val="0"/>
          <w:numId w:val="0"/>
        </w:numPr>
        <w:ind w:firstLine="480"/>
        <w:jc w:val="left"/>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冲击强度：冲击高度500mm,无剥落、裂纹、皱纹</w:t>
      </w:r>
      <w:r/>
    </w:p>
    <w:p>
      <w:pPr>
        <w:numPr>
          <w:ilvl w:val="0"/>
          <w:numId w:val="0"/>
        </w:numPr>
        <w:ind w:firstLine="480"/>
        <w:jc w:val="left"/>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耐腐蚀：100h内，观察在溶液中样板上划道两侧3mm以外，应无鼓泡产生；无鼓泡产生；100h后，检查划道两侧3mm外，应无锈迹、剥落、起皱、变色和光等现象；</w:t>
      </w:r>
      <w:r/>
    </w:p>
    <w:p>
      <w:pPr>
        <w:numPr>
          <w:ilvl w:val="0"/>
          <w:numId w:val="0"/>
        </w:numPr>
        <w:ind w:firstLine="480"/>
        <w:jc w:val="left"/>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金属电镀层：抗盐雾：18h,直径1.5mm以下锈点≤20点/dm²,其中直径≥1.0mm锈点不超过5点(距边缘棱角2mm以内的不计)；</w:t>
      </w:r>
      <w:r/>
    </w:p>
    <w:p>
      <w:pPr>
        <w:numPr>
          <w:ilvl w:val="0"/>
          <w:numId w:val="0"/>
        </w:numPr>
        <w:ind w:firstLine="480"/>
        <w:jc w:val="left"/>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力学性能：柜类强度和耐久性：推拉构件耐久性试验（≥12万次）：a)所有部件、连接件应无断裂损坏：b)无严重影响使用功能的磨损或变形；c)用手揿压证实，紧固件应无松动；d)五金件连接应无松动；e)活动部件(门、抽屉等)开关应灵活；</w:t>
      </w:r>
      <w:r/>
    </w:p>
    <w:p>
      <w:pPr>
        <w:numPr>
          <w:ilvl w:val="0"/>
          <w:numId w:val="0"/>
        </w:numPr>
        <w:ind w:firstLine="480"/>
        <w:jc w:val="left"/>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（4）品质属性：产品有害物质：甲醛释放mg/m³≤0.05；</w:t>
      </w:r>
      <w:r/>
    </w:p>
    <w:p>
      <w:pPr>
        <w:numPr>
          <w:ilvl w:val="0"/>
          <w:numId w:val="0"/>
        </w:numPr>
        <w:ind w:firstLine="480"/>
        <w:jc w:val="left"/>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苯、甲苯、二甲苯：未检出；</w:t>
      </w:r>
      <w:r/>
    </w:p>
    <w:p>
      <w:pPr>
        <w:numPr>
          <w:ilvl w:val="0"/>
          <w:numId w:val="0"/>
        </w:numPr>
        <w:ind w:firstLine="480"/>
        <w:jc w:val="left"/>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总挥发性有机化合物(TVOC)mg/m³≤0.3</w:t>
      </w:r>
      <w:r/>
    </w:p>
    <w:p>
      <w:pPr>
        <w:numPr>
          <w:ilvl w:val="0"/>
          <w:numId w:val="0"/>
        </w:numPr>
        <w:ind w:firstLine="480"/>
        <w:jc w:val="left"/>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产品有害物质(家具涂层可迁移元素)：铅、镉、铬、汞、锑、钡、硒、砷：未检出；</w:t>
      </w:r>
      <w:r/>
    </w:p>
    <w:p>
      <w:pPr>
        <w:numPr>
          <w:ilvl w:val="0"/>
          <w:numId w:val="0"/>
        </w:numPr>
        <w:ind w:left="0" w:firstLine="480"/>
        <w:keepLines w:val="0"/>
        <w:keepNext w:val="0"/>
        <w:pageBreakBefore w:val="0"/>
        <w:spacing w:line="400" w:lineRule="exact"/>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bidi="ar-SA"/>
        </w:rPr>
        <w:t xml:space="preserve">18.</w:t>
      </w:r>
      <w:r>
        <w:rPr>
          <w:rFonts w:hint="eastAsia" w:ascii="宋体" w:hAnsi="宋体" w:eastAsia="宋体" w:cs="宋体"/>
          <w:sz w:val="24"/>
          <w:szCs w:val="24"/>
          <w:lang w:val="en-US" w:eastAsia="zh-CN"/>
        </w:rPr>
        <w:t xml:space="preserve">货架</w:t>
      </w:r>
      <w:r/>
    </w:p>
    <w:p>
      <w:pPr>
        <w:numPr>
          <w:ilvl w:val="0"/>
          <w:numId w:val="0"/>
        </w:numPr>
        <w:ind w:firstLine="480"/>
        <w:keepLines w:val="0"/>
        <w:keepNext w:val="0"/>
        <w:pageBreakBefore w:val="0"/>
        <w:spacing w:line="400" w:lineRule="exact"/>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（1）乙酸盐雾试验(ASS试验)≥300h（涂）层本身的耐腐蚀等级≥9级</w:t>
      </w:r>
      <w:r/>
    </w:p>
    <w:p>
      <w:pPr>
        <w:numPr>
          <w:ilvl w:val="0"/>
          <w:numId w:val="0"/>
        </w:numPr>
        <w:ind w:firstLine="480"/>
        <w:keepLines w:val="0"/>
        <w:keepNext w:val="0"/>
        <w:pageBreakBefore w:val="0"/>
        <w:spacing w:line="400" w:lineRule="exact"/>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（2）抗菌性能-抑菌率≥99%</w:t>
      </w:r>
      <w:r/>
    </w:p>
    <w:p>
      <w:pPr>
        <w:numPr>
          <w:ilvl w:val="0"/>
          <w:numId w:val="0"/>
        </w:numPr>
        <w:ind w:firstLine="480"/>
        <w:keepLines w:val="0"/>
        <w:keepNext w:val="0"/>
        <w:pageBreakBefore w:val="0"/>
        <w:spacing w:line="400" w:lineRule="exact"/>
        <w:rPr>
          <w:rFonts w:hint="eastAsia" w:ascii="宋体" w:hAnsi="宋体" w:eastAsia="宋体" w:cs="宋体"/>
          <w:sz w:val="24"/>
          <w:szCs w:val="24"/>
          <w:lang w:val="en-US" w:eastAsia="zh-CN"/>
        </w:rPr>
        <w:outlineLvl w:val="9"/>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（3）燃烧性能-热释放速率峰值≤150kW</w:t>
      </w:r>
      <w:r/>
    </w:p>
    <w:p>
      <w:pPr>
        <w:numPr>
          <w:ilvl w:val="0"/>
          <w:numId w:val="0"/>
        </w:numPr>
        <w:ind w:firstLine="480"/>
        <w:keepLines w:val="0"/>
        <w:keepNext w:val="0"/>
        <w:pageBreakBefore w:val="0"/>
        <w:spacing w:line="400" w:lineRule="exact"/>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燃烧性能等级-5min内总热释放量≤30MJ</w:t>
      </w:r>
      <w:r/>
    </w:p>
    <w:p>
      <w:pPr>
        <w:numPr>
          <w:ilvl w:val="0"/>
          <w:numId w:val="0"/>
        </w:numPr>
        <w:ind w:firstLine="480"/>
        <w:keepLines w:val="0"/>
        <w:keepNext w:val="0"/>
        <w:pageBreakBefore w:val="0"/>
        <w:spacing w:line="400" w:lineRule="exact"/>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燃烧性能等级--最大烟密度≤65%</w:t>
      </w:r>
      <w:r/>
    </w:p>
    <w:p>
      <w:pPr>
        <w:ind w:firstLine="480"/>
        <w:keepLines w:val="0"/>
        <w:keepNext w:val="0"/>
        <w:pageBreakBefore w:val="0"/>
        <w:spacing w:line="400" w:lineRule="exact"/>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19.办公椅</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多溴二苯醚(PBDE)</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未检出</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扶手耐久性</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12万次-a)零、部件是否断裂或豁裂；b)用手撤压某些应为牢固的部件时是否出现永久性松动；c)椅背、扶手、脚或其他部件的位移变化是否大于试验前实测的尺寸；d)是否有严重影响产品外观质量的零、部件的变形或豁裂；e)任何机械部分操作是否造成损伤(包括在座面高度试验中座面高度的重要变化);f试验期间是否发出清晰可辨的噪声</w:t>
      </w:r>
      <w:r/>
    </w:p>
    <w:p>
      <w:pPr>
        <w:ind w:firstLine="480"/>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产品有害物质-甲醛释放量、苯、甲苯、二甲苯、总挥发性有机化合物(TVOC)</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未检出</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产品有害物质-家具涂层可迁移元素-铅(Pb)、镉(Cd)、铬(Cr)、汞(Hg)、锑(Sb)、钡(Ba)、硒(Se)、砷(As)</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未检出</w:t>
      </w:r>
      <w:r>
        <w:rPr>
          <w:rFonts w:hint="eastAsia" w:ascii="宋体" w:hAnsi="宋体" w:eastAsia="宋体" w:cs="宋体"/>
          <w:sz w:val="24"/>
          <w:szCs w:val="24"/>
        </w:rPr>
        <w:t xml:space="preserve"> </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密度座面≥</w:t>
      </w:r>
      <w:r>
        <w:rPr>
          <w:rFonts w:hint="eastAsia" w:ascii="宋体" w:hAnsi="宋体" w:eastAsia="宋体" w:cs="宋体"/>
          <w:sz w:val="24"/>
          <w:szCs w:val="24"/>
          <w:lang w:val="en-US" w:eastAsia="zh-CN"/>
        </w:rPr>
        <w:t xml:space="preserve">45</w:t>
      </w:r>
      <w:r>
        <w:rPr>
          <w:rFonts w:hint="eastAsia" w:ascii="宋体" w:hAnsi="宋体" w:eastAsia="宋体" w:cs="宋体"/>
          <w:sz w:val="24"/>
          <w:szCs w:val="24"/>
        </w:rPr>
        <w:t xml:space="preserve">kg/</w:t>
      </w:r>
      <w:r>
        <w:rPr>
          <w:rFonts w:hint="eastAsia" w:ascii="宋体" w:hAnsi="宋体" w:eastAsia="宋体" w:cs="宋体"/>
          <w:sz w:val="24"/>
          <w:szCs w:val="24"/>
          <w:lang w:val="en-US" w:eastAsia="zh-CN"/>
        </w:rPr>
        <w:t xml:space="preserve">m³</w:t>
      </w:r>
      <w:r>
        <w:rPr>
          <w:rFonts w:hint="eastAsia" w:ascii="宋体" w:hAnsi="宋体" w:eastAsia="宋体" w:cs="宋体"/>
          <w:sz w:val="24"/>
          <w:szCs w:val="24"/>
        </w:rPr>
        <w:t xml:space="preserve"> </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回弹性≥</w:t>
      </w:r>
      <w:r>
        <w:rPr>
          <w:rFonts w:hint="eastAsia" w:ascii="宋体" w:hAnsi="宋体" w:eastAsia="宋体" w:cs="宋体"/>
          <w:sz w:val="24"/>
          <w:szCs w:val="24"/>
          <w:lang w:val="en-US" w:eastAsia="zh-CN"/>
        </w:rPr>
        <w:t xml:space="preserve">40</w:t>
      </w:r>
      <w:r>
        <w:rPr>
          <w:rFonts w:hint="eastAsia" w:ascii="宋体" w:hAnsi="宋体" w:eastAsia="宋体" w:cs="宋体"/>
          <w:sz w:val="24"/>
          <w:szCs w:val="24"/>
        </w:rPr>
        <w:t xml:space="preserve">%</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5%压缩永久变形≤</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 </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干摩擦色牢度≥</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级</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电镀层-耐盐雾-18h,直径1.5mm以下锈点不多于20点/dm²,其中直径≥1.0mm锈点不超过5点(距离边缘棱角2mm以内的不计)</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力学性能-稳定性(座面静载荷600N,向前、侧向倾翻力不小于20N,向后倾翻力不小于100N)无倾翻 </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座面冲击(冲击高度152mm,冲击质量102kg,1次。如座面可调，调至最高和最低位置各冲击1次)-1.座椅零部件无断裂或豁裂现象；2.加载部位无明显变形；3.座椅结构无松动；4.试件试验期间不应发出清晰可辨的噪声；5.升降机构和旋转机构应无失灵；6.应无螺丝等零配件明显松动</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扶手垂直向下静载荷(750N,1min)-1.座椅零部件无断裂或豁裂现象；2.加载部位无明显变形；3.座椅结构无松动；4.试件试验期间不应发出清晰可辨的噪声；5.升降机构和旋转机构应无失灵；6.应无螺丝等零配件明显松动 </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扶手水平静载荷(445N,1min)-1.座椅零部件无断裂或豁裂现象；2.加载部位无明显变形；3.座椅结构无松动；4.试件试验期间不应发出清晰可辨的噪声；5.升降机构和旋转机构应无失灵；6.应无螺丝等零配件明显松动 </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脚轮往复磨损(座面垂直加载113kg,在有障碍物的测试平台，测试2000次；在无障碍物的水平测试台上测试98000次)-1.测试后使用功能应无损坏和丧失；2.测试后用22N的力沿着每个脚轮的中心线拉脚轮，脚轮应不会脱落出来 </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底座静载荷(7560N,1min,2次)-底座的结构完整性应无破坏，应无突然的明显的形变 </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座面、椅背耐久性-不适用于转椅(座面载荷950N,100000次，椅背载荷330N,100000次，座面平衡载荷：950N)-1.座椅零部件无断裂或豁裂现象；2.加载部位无明显变形；3.座椅结构无松动；4.试件试验期间不应发出清晰可辨的噪声；5.升降机构和旋转机构应无失灵；6.应无螺丝等零配件明显松动 </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椅背往复耐久性-适用于Ⅱ或Ⅲ类办公椅(座面载荷102kg,椅背载荷334N,120000次))-1.座椅零部件无断裂或豁裂现象；2.加载部位无明显变形；3.座椅结构无松动；4.试件试验期间不应发出清晰可辨的噪声；5.升降机构和旋转机构应无失灵；6.应无螺丝等零配件明显松动 </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座面耐久性-椅座往复冲击耐久性(57kg沙袋，冲击高度30mm,10次/min~30/min,100000次)-1.座椅零部件无断裂或豁裂现象；2.加载部位无明显变形；3.座椅结构无松动；4.试件试验期间不应发出清晰可辨的噪声；5.升降机构和旋转机构应无失灵；6.应无螺丝等零配件明显松动 </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座面耐久性-座面左右弯曲交替负荷耐久性(两个加载点上交替加载734N,10次/min~30次/min,40000次)-1.座椅零部件无断裂或豁裂现象；2.加载部位无明显变形；3.座椅结构无松动；4.试件试验期间不应发出清晰可辨的噪声；5.升降机构和旋转机构应无失灵；6.应无螺丝等零配件明显松动 </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跌落(跌落高度200mm,10次)-1.座椅零部件无断裂或豁裂现象；2.加载部位无明显变形；3.座椅结构无松动；4.试件试验期间不应发出清晰可辨的噪声；5.升降机构和旋转机构应无失灵；6.应无螺丝等零配件明显松动 </w:t>
      </w:r>
      <w:r/>
    </w:p>
    <w:p>
      <w:pPr>
        <w:ind w:firstLine="480"/>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w:t>
      </w:r>
      <w:r>
        <w:rPr>
          <w:rFonts w:hint="eastAsia" w:ascii="宋体" w:hAnsi="宋体" w:eastAsia="宋体" w:cs="宋体"/>
          <w:sz w:val="24"/>
          <w:szCs w:val="24"/>
          <w:lang w:val="en-US" w:eastAsia="zh-CN" w:bidi="ar-SA"/>
        </w:rPr>
        <w:t xml:space="preserve">阻燃性-抗引燃特性试验-阻燃I级-阻燃的香烟-未观察到试样表面或内部出现任何续燃、阴燃现象 </w:t>
      </w:r>
      <w:r/>
    </w:p>
    <w:p>
      <w:pPr>
        <w:ind w:firstLine="480"/>
        <w:keepLines w:val="0"/>
        <w:keepNext w:val="0"/>
        <w:pageBreakBefore w:val="0"/>
        <w:spacing w:line="400" w:lineRule="exact"/>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20.医用诊床</w:t>
      </w:r>
      <w:r/>
    </w:p>
    <w:p>
      <w:pPr>
        <w:ind w:firstLine="480"/>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品质属性-产品有害物质-家具涂层可迁移元素-铅(Pb)、镉(Cd)、铬(Cr)、汞(Hg)、锑(Sb)、钡(Ba)、硒(Se)、砷(As)</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未检出</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苯、甲苯、二甲苯、总挥发性有机化合物(TVOC)</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未</w:t>
      </w:r>
      <w:r>
        <w:rPr>
          <w:rFonts w:hint="eastAsia" w:ascii="宋体" w:hAnsi="宋体" w:eastAsia="宋体" w:cs="宋体"/>
          <w:sz w:val="24"/>
          <w:szCs w:val="24"/>
        </w:rPr>
        <w:t xml:space="preserve">检出</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耐霉菌性-黑曲霉、黄曲霉、蜡叶芽枝霉、宛氏拟青霉、桔青霉、绳状青霉大毛霉、赭绿青霉、绿粘帚霉耐霉菌性等级达到0级 </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有害物质限量-甲醛释放量E1≤0.124mg/</w:t>
      </w:r>
      <w:r>
        <w:rPr>
          <w:rFonts w:hint="eastAsia" w:ascii="宋体" w:hAnsi="宋体" w:eastAsia="宋体" w:cs="宋体"/>
          <w:sz w:val="24"/>
          <w:szCs w:val="24"/>
          <w:lang w:val="en-US" w:eastAsia="zh-CN"/>
        </w:rPr>
        <w:t xml:space="preserve">m³</w:t>
      </w:r>
      <w:r>
        <w:rPr>
          <w:rFonts w:hint="eastAsia" w:ascii="宋体" w:hAnsi="宋体" w:eastAsia="宋体" w:cs="宋体"/>
          <w:sz w:val="24"/>
          <w:szCs w:val="24"/>
        </w:rPr>
        <w:t xml:space="preserve"> 、可溶性铅、可溶性镉、可溶性铬、可溶性汞</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未检出</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力学性能-床铺面均布静载荷试验(在床铺面上，单人床均布放置1200N载荷，载荷应离床铺面边沿50mm,加载7d:双人人床均布放置1800N载荷，载荷应离床铺面边沿50mm,加载7d)-a)所有零部件无断裂或豁裂：b)用手撤压某些应为牢固的部件，应无永久性松动：c)所有零部件应无影响使用功能的磨损或变形：d)五金连接件应无松动：e)活动部件(门、抽屉等)开关应灵便；f)零部件无明显位移变化 </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床铺面集中静载荷试验(在床铺面中心通过200mm加载垫垂直向下施加1400N力20次，每次加载至少保持10S前后两次加载间隔时间不大于30s)-a)所有零部件无断裂或豁裂：b)用手撤压某些应为牢固的部件，应无永久性松动：c)所有零部件应无影响使用功能的磨损或变形：d)五金连接件应无松动：e)活动部件(门、抽屉等)开关应灵便；f)零部件无明显位移变化 </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床结构耐久性试验(按照A、B、C、D次序轮流在该4点上通过50mm加载垫垂直床边水平向内施加300N力作为一个循环，每次循环的时间为(10±1)s,共进行10000次循环)-a)所有零部件无断裂或豁裂：b)用手撤压某些应为牢固的部件，应无永久性松动：c)所有零部件应无影响使用功能的磨损或变形：d)五金连接件应无松动：e)活动部件(门、抽屉等)开关应灵便；f)零部件无明显位移变化 </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床铺面冲击载荷试验(用冲击体在床铺面上方以140mm冲击高度，在床铺面中心和床铺面的最弱点各冲击10次，前后两次冲击间隔时间不大于30s)-a)所有零部件无断裂或豁裂：b)用手撤压某些应为牢固的部件，应无永久性松动：c)所有零部件应无影响使用功能的磨损或变形：d)五金连接件应无松动：e)活动部件(门、抽屉等)开关应灵便；f)零部件无明显位移变化 </w:t>
      </w:r>
      <w:r/>
    </w:p>
    <w:p>
      <w:pPr>
        <w:ind w:firstLine="480"/>
        <w:keepLines w:val="0"/>
        <w:keepNext w:val="0"/>
        <w:pageBreakBefore w:val="0"/>
        <w:spacing w:line="400" w:lineRule="exact"/>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21.候诊椅</w:t>
      </w:r>
      <w:r/>
    </w:p>
    <w:p>
      <w:pPr>
        <w:ind w:firstLine="480"/>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产品表面涂饰层/覆面材料理化性能：金属喷漆（塑）涂层：①硬度≥2H；②冲击强度：冲击高度400mm，应无剥落、裂纹、皱纹；③耐腐蚀：100h内，观察在溶液中样板上划道两侧3mm以外，应无鼓泡产生；100h后,检查划道两侧3mm外，应无锈迹、剥落、起皱、变色和失光等现象；</w:t>
      </w:r>
      <w:r/>
    </w:p>
    <w:p>
      <w:pPr>
        <w:ind w:firstLine="480"/>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（2）力学性能 ①椅凳类强度和耐久性：座面静载荷试验 加载力1300 N，10次；椅背静载荷试验 加载力450N，10次；座面前沿静载荷试验 加载力1300N，10次；扶手侧向静载荷试验 加载力400N，10次；扶手垂直向下静载荷试验 加载力800N，10次；椅腿前向静载荷试验 加载力500N，10次，座面平衡载荷1000N；椅腿侧向静载荷试验 加载力390 N，10次；座面冲击试验跌落高度180mm，10次；椅背冲击试验 高度210mm，角度38度，10次；</w:t>
      </w:r>
      <w:r/>
    </w:p>
    <w:p>
      <w:pPr>
        <w:ind w:firstLine="480"/>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（3）甲醛释放量未检出</w:t>
      </w:r>
      <w:r/>
    </w:p>
    <w:p>
      <w:pPr>
        <w:ind w:firstLine="480"/>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（4）挥发性有机化合物：苯未检出；甲苯未检出；二甲苯未检出；TVOC未检出。</w:t>
      </w:r>
      <w:r/>
    </w:p>
    <w:p>
      <w:pPr>
        <w:ind w:firstLine="480"/>
        <w:keepLines w:val="0"/>
        <w:keepNext w:val="0"/>
        <w:pageBreakBefore w:val="0"/>
        <w:spacing w:line="400" w:lineRule="exact"/>
        <w:rPr>
          <w:rFonts w:hint="eastAsia" w:ascii="宋体" w:hAnsi="宋体" w:eastAsia="宋体" w:cs="宋体"/>
          <w:sz w:val="24"/>
          <w:szCs w:val="24"/>
          <w:lang w:val="en-US" w:eastAsia="zh-CN"/>
        </w:rPr>
        <w:outlineLvl w:val="0"/>
      </w:pPr>
      <w:r>
        <w:rPr>
          <w:rFonts w:hint="eastAsia" w:ascii="宋体" w:hAnsi="宋体" w:eastAsia="宋体" w:cs="宋体"/>
          <w:sz w:val="24"/>
          <w:szCs w:val="24"/>
          <w:lang w:val="en-US" w:eastAsia="zh-CN"/>
        </w:rPr>
        <w:t xml:space="preserve">22.办公桌</w:t>
      </w:r>
      <w:r/>
    </w:p>
    <w:p>
      <w:pPr>
        <w:ind w:firstLine="480"/>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GB/T 3325《金属家具通用技术条件》GB/T 3324《木家具通用技术条件》GB/T 35607《绿色产品评价家具》GB/T 17657《人造板及饰面人造板理化性能试验方法》</w:t>
      </w:r>
      <w:r/>
    </w:p>
    <w:p>
      <w:pPr>
        <w:ind w:firstLine="480"/>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（1）产品有害物质-苯、甲苯、二甲苯、总挥发性有机化合物(TVOC)：未检出</w:t>
      </w:r>
      <w:r/>
    </w:p>
    <w:p>
      <w:pPr>
        <w:ind w:firstLine="480"/>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产品有害物质-家具涂层可迁移元素-铅(Pb)、镉(Cd)、铬(Cr)、汞(Hg)、锑(Sb)、钡(Ba)、硒(Se)、砷(As)：未检出 </w:t>
      </w:r>
      <w:r/>
    </w:p>
    <w:p>
      <w:pPr>
        <w:ind w:firstLine="480"/>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（2）理化性能要求-木制件表面涂层-耐湿热-70℃,20min,应不低于3级</w:t>
      </w:r>
      <w:r/>
    </w:p>
    <w:p>
      <w:pPr>
        <w:ind w:firstLine="480"/>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木制件表面涂层-耐干热-70℃,20min,应不低于3级 </w:t>
      </w:r>
      <w:r/>
    </w:p>
    <w:p>
      <w:pPr>
        <w:ind w:firstLine="480"/>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木制件表面贴面层-耐冷热循环-无裂缝、开裂、起皱、鼓泡现象 </w:t>
      </w:r>
      <w:r/>
    </w:p>
    <w:p>
      <w:pPr>
        <w:ind w:firstLine="480"/>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木制件表面贴面层-耐划痕-加载1.5N。表面无大于90%的连续划痕或表面装饰花纹无破坏现象</w:t>
      </w:r>
      <w:r/>
    </w:p>
    <w:p>
      <w:pPr>
        <w:ind w:firstLine="480"/>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木制件表面贴面层-耐污染性能-选用带有“*”标记的6类污染物，丙酮试验时间为16h。应不低于3级 </w:t>
      </w:r>
      <w:r/>
    </w:p>
    <w:p>
      <w:pPr>
        <w:ind w:firstLine="480"/>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木制件表面贴面层-表面耐磨性(素色)-磨350r后应无露底现象 </w:t>
      </w:r>
      <w:r/>
    </w:p>
    <w:p>
      <w:pPr>
        <w:ind w:firstLine="480"/>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木制件表面贴面层-耐光色牢度(灰色样卡)≥4级</w:t>
      </w:r>
      <w:r/>
    </w:p>
    <w:p>
      <w:pPr>
        <w:ind w:firstLine="480"/>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产品部件材质理化性能-人造板件-封边条表面胶合强度-应不小于0.40MPa</w:t>
      </w:r>
      <w:r/>
    </w:p>
    <w:p>
      <w:pPr>
        <w:ind w:firstLine="480"/>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力学性能要求-桌类强度和耐久性-主桌面垂直静载益(加载1000N,10次)-a)所有零部件无断裂或豁裂：b)用手揿压某些应为牢固的部件，应无永久性松动；c)所有零部件应无影响使用功能的磨损或变形；d)五金连接件应无松动：e)活动部件(门、抽屉等)开关应灵便：f)零部件无明显位移变化 </w:t>
      </w:r>
      <w:r/>
    </w:p>
    <w:p>
      <w:pPr>
        <w:ind w:firstLine="480"/>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桌类强度和耐久性-桌面垂直冲击试验(跌落140mm,2次)-a)所有零部件无断裂或豁裂：b)用手揿压某些应为牢固的部件，应无永久性松动；c)所有零部件应无影响使用功能的磨损或变形；d)五金连接件应无松动：e)活动部件(门、抽屉等)开关应灵便：f)零部件无明显位移变化</w:t>
      </w:r>
      <w:r/>
    </w:p>
    <w:p>
      <w:pPr>
        <w:ind w:firstLine="480"/>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桌类强度和耐久性-桌腿跌落试验(跌落高度200mm,10次)-a)所有零部件无断裂或豁裂：b)用手揿压某些应为牢固的部件，应无永久性松动；c)所有零部件应无影响使用功能的磨损或变形；d)五金连接件应无松动：e)活动部件(门、抽屉等)开关应灵便：f)零部件无明显位移变化 </w:t>
      </w:r>
      <w:r/>
    </w:p>
    <w:p>
      <w:pPr>
        <w:numPr>
          <w:ilvl w:val="0"/>
          <w:numId w:val="0"/>
        </w:numPr>
        <w:contextualSpacing/>
        <w:ind w:left="0" w:right="0" w:firstLine="480"/>
        <w:jc w:val="left"/>
        <w:keepLines w:val="0"/>
        <w:keepNext w:val="0"/>
        <w:pageBreakBefore w:val="0"/>
        <w:spacing w:before="0" w:after="0" w:line="400" w:lineRule="exact"/>
        <w:widowControl/>
        <w:tabs>
          <w:tab w:val="right" w:pos="8268" w:leader="dot"/>
        </w:tabs>
        <w:rPr>
          <w:rFonts w:hint="eastAsia" w:ascii="宋体" w:hAnsi="宋体" w:eastAsia="宋体" w:cs="宋体"/>
          <w:sz w:val="24"/>
          <w:szCs w:val="24"/>
          <w:lang w:val="en-US" w:eastAsia="zh-CN" w:bidi="ar-SA"/>
        </w:rPr>
      </w:pPr>
      <w:r>
        <w:rPr>
          <w:rFonts w:hint="eastAsia" w:ascii="宋体" w:hAnsi="宋体" w:eastAsia="宋体" w:cs="宋体"/>
          <w:b w:val="0"/>
          <w:bCs w:val="0"/>
          <w:sz w:val="24"/>
          <w:szCs w:val="24"/>
          <w:lang w:val="en-US" w:eastAsia="zh-CN" w:bidi="ar-SA"/>
        </w:rPr>
        <w:t xml:space="preserve">（4）</w:t>
      </w:r>
      <w:r>
        <w:rPr>
          <w:rFonts w:hint="eastAsia" w:ascii="宋体" w:hAnsi="宋体" w:eastAsia="宋体" w:cs="宋体"/>
          <w:sz w:val="24"/>
          <w:szCs w:val="24"/>
          <w:lang w:val="en-US" w:eastAsia="zh-CN" w:bidi="ar-SA"/>
        </w:rPr>
        <w:t xml:space="preserve">甲醛释放量(气候箱法)：未检出</w:t>
      </w:r>
      <w:r/>
    </w:p>
    <w:p>
      <w:pPr>
        <w:numPr>
          <w:ilvl w:val="0"/>
          <w:numId w:val="0"/>
        </w:numPr>
        <w:contextualSpacing/>
        <w:ind w:right="0" w:firstLine="480"/>
        <w:jc w:val="left"/>
        <w:keepLines w:val="0"/>
        <w:keepNext w:val="0"/>
        <w:pageBreakBefore w:val="0"/>
        <w:spacing w:before="0" w:after="0" w:line="400" w:lineRule="exact"/>
        <w:widowControl/>
        <w:tabs>
          <w:tab w:val="right" w:pos="8268" w:leader="dot"/>
        </w:tabs>
        <w:rPr>
          <w:rFonts w:hint="eastAsia" w:ascii="宋体" w:hAnsi="宋体" w:eastAsia="宋体" w:cs="宋体"/>
          <w:sz w:val="24"/>
          <w:szCs w:val="24"/>
          <w:lang w:val="en-US" w:eastAsia="zh-CN" w:bidi="ar-SA"/>
        </w:rPr>
        <w:outlineLvl w:val="0"/>
      </w:pPr>
      <w:r>
        <w:rPr>
          <w:rFonts w:hint="eastAsia" w:ascii="宋体" w:hAnsi="宋体" w:eastAsia="宋体" w:cs="宋体"/>
          <w:sz w:val="24"/>
          <w:szCs w:val="24"/>
          <w:lang w:val="en-US" w:eastAsia="zh-CN" w:bidi="ar-SA"/>
        </w:rPr>
        <w:t xml:space="preserve">23.沙发</w:t>
      </w:r>
      <w:r/>
    </w:p>
    <w:p>
      <w:pPr>
        <w:numPr>
          <w:ilvl w:val="0"/>
          <w:numId w:val="0"/>
        </w:numPr>
        <w:contextualSpacing/>
        <w:ind w:right="0" w:firstLine="480"/>
        <w:jc w:val="left"/>
        <w:keepLines w:val="0"/>
        <w:keepNext w:val="0"/>
        <w:pageBreakBefore w:val="0"/>
        <w:spacing w:before="0" w:after="0" w:line="400" w:lineRule="exact"/>
        <w:widowControl/>
        <w:tabs>
          <w:tab w:val="right" w:pos="8268" w:leader="dot"/>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（1）泡沫塑料表观密度：座面≥25kg/m³；泡沫塑料回弹性能（除慢回弹泡沫塑料外）≥40%；压缩永久变形≤7%；</w:t>
      </w:r>
      <w:r/>
    </w:p>
    <w:p>
      <w:pPr>
        <w:numPr>
          <w:ilvl w:val="0"/>
          <w:numId w:val="0"/>
        </w:numPr>
        <w:contextualSpacing/>
        <w:ind w:right="0" w:firstLine="480"/>
        <w:jc w:val="left"/>
        <w:keepLines w:val="0"/>
        <w:keepNext w:val="0"/>
        <w:pageBreakBefore w:val="0"/>
        <w:spacing w:before="0" w:after="0" w:line="400" w:lineRule="exact"/>
        <w:widowControl/>
        <w:tabs>
          <w:tab w:val="right" w:pos="8268" w:leader="dot"/>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（2）耐腐蚀：100h内，观察在溶液中样板上划道两侧3mm以外，应无鼓泡检测合格；耐腐蚀：100h后，检查划道两侧3mm外，应无锈迹、剥落、起皱、变色和失光等现象检测合格；</w:t>
      </w:r>
      <w:r/>
    </w:p>
    <w:p>
      <w:pPr>
        <w:numPr>
          <w:ilvl w:val="0"/>
          <w:numId w:val="0"/>
        </w:numPr>
        <w:contextualSpacing/>
        <w:ind w:right="0" w:firstLine="480"/>
        <w:jc w:val="left"/>
        <w:keepLines w:val="0"/>
        <w:keepNext w:val="0"/>
        <w:pageBreakBefore w:val="0"/>
        <w:spacing w:before="0" w:after="0" w:line="400" w:lineRule="exact"/>
        <w:widowControl/>
        <w:tabs>
          <w:tab w:val="right" w:pos="8268" w:leader="dot"/>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（3）覆面材料：各种面料颜色干摩擦牢度不应小于4级；覆面材料：皮革涂层粘着牢度不应小于2.5N/10mm；座面压缩量ā≥55mm；安全性要求检测结果合格；</w:t>
      </w:r>
      <w:r/>
    </w:p>
    <w:p>
      <w:pPr>
        <w:numPr>
          <w:ilvl w:val="0"/>
          <w:numId w:val="0"/>
        </w:numPr>
        <w:contextualSpacing/>
        <w:ind w:right="0" w:firstLine="480"/>
        <w:jc w:val="left"/>
        <w:keepLines w:val="0"/>
        <w:keepNext w:val="0"/>
        <w:pageBreakBefore w:val="0"/>
        <w:spacing w:before="0" w:after="0" w:line="400" w:lineRule="exact"/>
        <w:widowControl/>
        <w:tabs>
          <w:tab w:val="right" w:pos="8268" w:leader="dot"/>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（4）抗引燃特性检测结果合格；</w:t>
      </w:r>
      <w:r/>
    </w:p>
    <w:p>
      <w:pPr>
        <w:ind w:firstLine="480"/>
        <w:keepLines w:val="0"/>
        <w:keepNext w:val="0"/>
        <w:pageBreakBefore w:val="0"/>
        <w:spacing w:line="0" w:lineRule="atLeast"/>
        <w:rPr>
          <w:rFonts w:hint="default" w:ascii="宋体" w:hAnsi="宋体" w:eastAsia="宋体" w:cs="Times New Roman"/>
          <w:b/>
          <w:color w:val="000000"/>
          <w:sz w:val="24"/>
          <w:szCs w:val="24"/>
          <w:lang w:val="en-US" w:eastAsia="zh-CN"/>
        </w:rPr>
      </w:pPr>
      <w:r>
        <w:rPr>
          <w:rFonts w:hint="eastAsia" w:ascii="宋体" w:hAnsi="宋体" w:eastAsia="宋体" w:cs="宋体"/>
          <w:sz w:val="24"/>
          <w:szCs w:val="24"/>
          <w:lang w:val="en-US" w:eastAsia="zh-CN" w:bidi="ar-SA"/>
        </w:rPr>
        <w:t xml:space="preserve">（5）甲醛释放量：未检出；苯：未检出；甲苯：未检出；二甲苯：未检出；TVOC：未检出。</w:t>
      </w:r>
      <w:r/>
    </w:p>
    <w:p>
      <w:pPr>
        <w:spacing w:line="0" w:lineRule="atLeast"/>
        <w:rPr>
          <w:rFonts w:hint="eastAsia" w:ascii="宋体" w:hAnsi="宋体" w:eastAsia="宋体"/>
          <w:b/>
          <w:bCs/>
          <w:sz w:val="24"/>
          <w:szCs w:val="24"/>
          <w:lang w:eastAsia="zh-CN"/>
        </w:rPr>
      </w:pPr>
      <w:r>
        <w:rPr>
          <w:rFonts w:hint="eastAsia" w:ascii="宋体" w:hAnsi="宋体"/>
          <w:b/>
          <w:bCs/>
          <w:sz w:val="24"/>
          <w:szCs w:val="24"/>
          <w:lang w:val="en-US" w:eastAsia="zh-CN"/>
        </w:rPr>
        <w:t xml:space="preserve">三</w:t>
      </w:r>
      <w:r>
        <w:rPr>
          <w:rFonts w:ascii="宋体" w:hAnsi="宋体"/>
          <w:b/>
          <w:bCs/>
          <w:sz w:val="24"/>
          <w:szCs w:val="24"/>
        </w:rPr>
        <w:t xml:space="preserve">、</w:t>
      </w:r>
      <w:r>
        <w:rPr>
          <w:rFonts w:hint="eastAsia" w:ascii="宋体" w:hAnsi="宋体"/>
          <w:b/>
          <w:bCs/>
          <w:sz w:val="24"/>
          <w:szCs w:val="24"/>
        </w:rPr>
        <w:t xml:space="preserve">商务</w:t>
      </w:r>
      <w:r>
        <w:rPr>
          <w:rFonts w:ascii="宋体" w:hAnsi="宋体"/>
          <w:b/>
          <w:bCs/>
          <w:sz w:val="24"/>
          <w:szCs w:val="24"/>
        </w:rPr>
        <w:t xml:space="preserve">要求</w:t>
      </w:r>
      <w:r>
        <w:rPr>
          <w:rFonts w:hint="eastAsia" w:ascii="宋体" w:hAnsi="宋体"/>
          <w:b/>
          <w:bCs/>
          <w:sz w:val="24"/>
          <w:szCs w:val="24"/>
          <w:highlight w:val="none"/>
          <w:lang w:eastAsia="zh-CN"/>
        </w:rPr>
        <w:t xml:space="preserve">（</w:t>
      </w:r>
      <w:r>
        <w:rPr>
          <w:rFonts w:hint="eastAsia" w:ascii="宋体" w:hAnsi="宋体" w:eastAsia="宋体" w:cs="宋体"/>
          <w:b/>
          <w:bCs/>
          <w:sz w:val="24"/>
          <w:szCs w:val="24"/>
          <w:highlight w:val="none"/>
        </w:rPr>
        <w:t xml:space="preserve">其中</w:t>
      </w:r>
      <w:r>
        <w:rPr>
          <w:rFonts w:hint="eastAsia" w:ascii="宋体" w:hAnsi="宋体" w:eastAsia="宋体" w:cs="宋体"/>
          <w:b/>
          <w:bCs/>
          <w:sz w:val="24"/>
          <w:szCs w:val="21"/>
          <w:highlight w:val="none"/>
        </w:rPr>
        <w:t xml:space="preserve">加*号条款为实质性要求</w:t>
      </w:r>
      <w:r>
        <w:rPr>
          <w:rFonts w:hint="eastAsia" w:ascii="宋体" w:hAnsi="宋体" w:eastAsia="宋体" w:cs="宋体"/>
          <w:b/>
          <w:bCs/>
          <w:sz w:val="24"/>
          <w:szCs w:val="21"/>
          <w:highlight w:val="none"/>
          <w:lang w:eastAsia="zh-CN"/>
        </w:rPr>
        <w:t xml:space="preserve">）</w:t>
      </w:r>
      <w:r/>
    </w:p>
    <w:p>
      <w:pPr>
        <w:spacing w:line="0" w:lineRule="atLeast"/>
        <w:rPr>
          <w:rFonts w:hint="eastAsia" w:ascii="宋体" w:hAnsi="宋体"/>
          <w:bCs/>
          <w:sz w:val="24"/>
          <w:szCs w:val="24"/>
        </w:rPr>
      </w:pPr>
      <w:r>
        <w:rPr>
          <w:rFonts w:hint="eastAsia" w:ascii="宋体" w:hAnsi="宋体"/>
          <w:b/>
          <w:bCs/>
          <w:sz w:val="24"/>
          <w:szCs w:val="21"/>
        </w:rPr>
        <w:t xml:space="preserve">*</w:t>
      </w:r>
      <w:r>
        <w:rPr>
          <w:rFonts w:hint="eastAsia" w:ascii="宋体" w:hAnsi="宋体"/>
          <w:bCs/>
          <w:sz w:val="24"/>
          <w:szCs w:val="24"/>
          <w:lang w:val="en-US" w:eastAsia="zh-CN"/>
        </w:rPr>
        <w:t xml:space="preserve">1.</w:t>
      </w:r>
      <w:r>
        <w:rPr>
          <w:rFonts w:hint="eastAsia" w:ascii="宋体" w:hAnsi="宋体"/>
          <w:bCs/>
          <w:sz w:val="24"/>
          <w:szCs w:val="24"/>
        </w:rPr>
        <w:t xml:space="preserve">供货时间：合同签订后10日内供货安装调试到位。</w:t>
      </w:r>
      <w:r/>
    </w:p>
    <w:p>
      <w:pPr>
        <w:spacing w:line="0" w:lineRule="atLeast"/>
        <w:rPr>
          <w:rFonts w:hint="eastAsia" w:ascii="宋体" w:hAnsi="宋体"/>
          <w:bCs/>
          <w:sz w:val="24"/>
          <w:szCs w:val="24"/>
        </w:rPr>
      </w:pPr>
      <w:r>
        <w:rPr>
          <w:rFonts w:hint="eastAsia" w:ascii="宋体" w:hAnsi="宋体"/>
          <w:b/>
          <w:bCs/>
          <w:sz w:val="24"/>
          <w:szCs w:val="21"/>
        </w:rPr>
        <w:t xml:space="preserve">*</w:t>
      </w:r>
      <w:r>
        <w:rPr>
          <w:rFonts w:hint="eastAsia" w:ascii="宋体" w:hAnsi="宋体"/>
          <w:bCs/>
          <w:sz w:val="24"/>
          <w:szCs w:val="24"/>
          <w:lang w:val="en-US" w:eastAsia="zh-CN"/>
        </w:rPr>
        <w:t xml:space="preserve">2.</w:t>
      </w:r>
      <w:r>
        <w:rPr>
          <w:rFonts w:hint="eastAsia" w:ascii="宋体" w:hAnsi="宋体"/>
          <w:bCs/>
          <w:sz w:val="24"/>
          <w:szCs w:val="24"/>
        </w:rPr>
        <w:t xml:space="preserve">实施地点：由采购人指定。</w:t>
      </w:r>
      <w:r/>
    </w:p>
    <w:p>
      <w:pPr>
        <w:spacing w:line="0" w:lineRule="atLeast"/>
        <w:rPr>
          <w:rFonts w:hint="eastAsia" w:ascii="宋体" w:hAnsi="宋体"/>
          <w:bCs/>
          <w:sz w:val="24"/>
          <w:szCs w:val="24"/>
        </w:rPr>
      </w:pPr>
      <w:r>
        <w:rPr>
          <w:rFonts w:hint="eastAsia" w:ascii="宋体" w:hAnsi="宋体"/>
          <w:b/>
          <w:bCs/>
          <w:sz w:val="24"/>
          <w:szCs w:val="21"/>
        </w:rPr>
        <w:t xml:space="preserve">*</w:t>
      </w:r>
      <w:r>
        <w:rPr>
          <w:rFonts w:hint="eastAsia" w:ascii="宋体" w:hAnsi="宋体"/>
          <w:bCs/>
          <w:sz w:val="24"/>
          <w:szCs w:val="24"/>
          <w:lang w:val="en-US" w:eastAsia="zh-CN"/>
        </w:rPr>
        <w:t xml:space="preserve">3.</w:t>
      </w:r>
      <w:r>
        <w:rPr>
          <w:rFonts w:hint="eastAsia" w:ascii="宋体" w:hAnsi="宋体"/>
          <w:bCs/>
          <w:sz w:val="24"/>
          <w:szCs w:val="24"/>
        </w:rPr>
        <w:t xml:space="preserve">付款按下列条件进行：合同签订后预付合同价的30%，货物运至现场付至合同价的80%，安装调试完毕且经验收合格后一次性付清余款。</w:t>
      </w:r>
      <w:r/>
    </w:p>
    <w:p>
      <w:pPr>
        <w:spacing w:line="0" w:lineRule="atLeast"/>
        <w:rPr>
          <w:rFonts w:hint="eastAsia" w:ascii="宋体" w:hAnsi="宋体"/>
          <w:bCs/>
          <w:sz w:val="24"/>
          <w:szCs w:val="24"/>
          <w:lang w:val="en-US" w:eastAsia="zh-CN"/>
        </w:rPr>
      </w:pPr>
      <w:r>
        <w:rPr>
          <w:rFonts w:hint="eastAsia" w:ascii="宋体" w:hAnsi="宋体"/>
          <w:b/>
          <w:bCs/>
          <w:sz w:val="24"/>
          <w:szCs w:val="21"/>
        </w:rPr>
        <w:t xml:space="preserve">*</w:t>
      </w:r>
      <w:r>
        <w:rPr>
          <w:rFonts w:hint="eastAsia" w:ascii="宋体" w:hAnsi="宋体"/>
          <w:bCs/>
          <w:sz w:val="24"/>
          <w:szCs w:val="24"/>
          <w:lang w:val="en-US" w:eastAsia="zh-CN"/>
        </w:rPr>
        <w:t xml:space="preserve">4.</w:t>
      </w:r>
      <w:r>
        <w:rPr>
          <w:rFonts w:hint="eastAsia" w:ascii="宋体" w:hAnsi="宋体"/>
          <w:bCs/>
          <w:sz w:val="24"/>
          <w:szCs w:val="24"/>
        </w:rPr>
        <w:t xml:space="preserve">质量标准</w:t>
      </w:r>
      <w:r>
        <w:rPr>
          <w:rFonts w:hint="eastAsia" w:ascii="宋体" w:hAnsi="宋体"/>
          <w:bCs/>
          <w:sz w:val="24"/>
          <w:szCs w:val="24"/>
          <w:lang w:eastAsia="zh-CN"/>
        </w:rPr>
        <w:t xml:space="preserve">：</w:t>
      </w:r>
      <w:r>
        <w:rPr>
          <w:rFonts w:hint="eastAsia" w:ascii="宋体" w:hAnsi="宋体"/>
          <w:bCs/>
          <w:sz w:val="24"/>
          <w:szCs w:val="24"/>
          <w:lang w:val="en-US" w:eastAsia="zh-CN"/>
        </w:rPr>
        <w:t xml:space="preserve">合格。</w:t>
      </w:r>
      <w:r/>
    </w:p>
    <w:p>
      <w:pPr>
        <w:spacing w:line="0" w:lineRule="atLeast"/>
        <w:rPr>
          <w:rFonts w:hint="eastAsia" w:ascii="宋体" w:hAnsi="宋体"/>
          <w:bCs/>
          <w:sz w:val="24"/>
          <w:szCs w:val="24"/>
        </w:rPr>
      </w:pPr>
      <w:r>
        <w:rPr>
          <w:rFonts w:hint="eastAsia" w:ascii="宋体" w:hAnsi="宋体"/>
          <w:b/>
          <w:bCs/>
          <w:sz w:val="24"/>
          <w:szCs w:val="21"/>
        </w:rPr>
        <w:t xml:space="preserve">*</w:t>
      </w:r>
      <w:r>
        <w:rPr>
          <w:rFonts w:hint="eastAsia" w:ascii="宋体" w:hAnsi="宋体"/>
          <w:bCs/>
          <w:sz w:val="24"/>
          <w:szCs w:val="24"/>
          <w:lang w:val="en-US" w:eastAsia="zh-CN"/>
        </w:rPr>
        <w:t xml:space="preserve">5.</w:t>
      </w:r>
      <w:r>
        <w:rPr>
          <w:rFonts w:hint="eastAsia" w:ascii="宋体" w:hAnsi="宋体"/>
          <w:bCs/>
          <w:sz w:val="24"/>
          <w:szCs w:val="24"/>
        </w:rPr>
        <w:t xml:space="preserve">免费质保期：3年。免费质保期间，</w:t>
      </w:r>
      <w:r>
        <w:rPr>
          <w:rFonts w:hint="eastAsia" w:ascii="宋体" w:hAnsi="宋体"/>
          <w:bCs/>
          <w:sz w:val="24"/>
          <w:szCs w:val="24"/>
          <w:lang w:val="en-US" w:eastAsia="zh-CN"/>
        </w:rPr>
        <w:t xml:space="preserve">乙方</w:t>
      </w:r>
      <w:r>
        <w:rPr>
          <w:rFonts w:hint="eastAsia" w:ascii="宋体" w:hAnsi="宋体"/>
          <w:bCs/>
          <w:sz w:val="24"/>
          <w:szCs w:val="24"/>
        </w:rPr>
        <w:t xml:space="preserve">免费包维修、保养、安检、调换等；对于</w:t>
      </w:r>
      <w:r>
        <w:rPr>
          <w:rFonts w:hint="eastAsia" w:ascii="宋体" w:hAnsi="宋体"/>
          <w:bCs/>
          <w:sz w:val="24"/>
          <w:szCs w:val="24"/>
          <w:lang w:val="en-US" w:eastAsia="zh-CN"/>
        </w:rPr>
        <w:t xml:space="preserve">甲方</w:t>
      </w:r>
      <w:r>
        <w:rPr>
          <w:rFonts w:hint="eastAsia" w:ascii="宋体" w:hAnsi="宋体"/>
          <w:bCs/>
          <w:sz w:val="24"/>
          <w:szCs w:val="24"/>
        </w:rPr>
        <w:t xml:space="preserve">人为原因造成的故障，</w:t>
      </w:r>
      <w:r>
        <w:rPr>
          <w:rFonts w:hint="eastAsia" w:ascii="宋体" w:hAnsi="宋体"/>
          <w:bCs/>
          <w:sz w:val="24"/>
          <w:szCs w:val="24"/>
          <w:lang w:val="en-US" w:eastAsia="zh-CN"/>
        </w:rPr>
        <w:t xml:space="preserve">乙方</w:t>
      </w:r>
      <w:r>
        <w:rPr>
          <w:rFonts w:hint="eastAsia" w:ascii="宋体" w:hAnsi="宋体"/>
          <w:bCs/>
          <w:sz w:val="24"/>
          <w:szCs w:val="24"/>
        </w:rPr>
        <w:t xml:space="preserve">只收取维保成本费用。</w:t>
      </w:r>
      <w:r/>
    </w:p>
    <w:p>
      <w:pPr>
        <w:keepLines/>
        <w:keepNext/>
        <w:spacing w:line="400" w:lineRule="exact"/>
        <w:rPr>
          <w:rFonts w:hint="eastAsia" w:ascii="方正魏碑_GBK" w:hAnsi="方正魏碑_GBK" w:eastAsia="方正魏碑_GBK" w:cs="方正魏碑_GBK"/>
          <w:bCs/>
          <w:color w:val="ff0000"/>
          <w:sz w:val="28"/>
          <w:szCs w:val="28"/>
        </w:rPr>
        <w:outlineLvl w:val="3"/>
      </w:pPr>
      <w:r>
        <w:rPr>
          <w:rFonts w:hint="eastAsia" w:ascii="方正魏碑_GBK" w:hAnsi="方正魏碑_GBK" w:eastAsia="方正魏碑_GBK" w:cs="方正魏碑_GBK"/>
          <w:bCs/>
          <w:color w:val="ff0000"/>
          <w:sz w:val="28"/>
          <w:szCs w:val="28"/>
          <w:lang w:val="en-US" w:eastAsia="zh-CN"/>
        </w:rPr>
        <w:t xml:space="preserve">四、</w:t>
      </w:r>
      <w:r>
        <w:rPr>
          <w:rFonts w:hint="eastAsia" w:ascii="方正魏碑_GBK" w:hAnsi="方正魏碑_GBK" w:eastAsia="方正魏碑_GBK" w:cs="方正魏碑_GBK"/>
          <w:bCs/>
          <w:color w:val="ff0000"/>
          <w:sz w:val="28"/>
          <w:szCs w:val="28"/>
        </w:rPr>
        <w:t xml:space="preserve">政府采购中实施本国产品标准及相关政策</w:t>
      </w:r>
      <w:r/>
    </w:p>
    <w:p>
      <w:pPr>
        <w:ind w:firstLine="555"/>
        <w:spacing w:line="400" w:lineRule="exact"/>
        <w:rPr>
          <w:rFonts w:hint="eastAsia" w:ascii="方正魏碑_GBK" w:hAnsi="方正魏碑_GBK" w:eastAsia="方正魏碑_GBK" w:cs="方正魏碑_GBK"/>
          <w:bCs/>
          <w:color w:val="ff0000"/>
          <w:sz w:val="28"/>
          <w:szCs w:val="28"/>
        </w:rPr>
      </w:pPr>
      <w:r>
        <w:rPr>
          <w:rFonts w:hint="eastAsia" w:ascii="方正魏碑_GBK" w:hAnsi="方正魏碑_GBK" w:eastAsia="方正魏碑_GBK" w:cs="方正魏碑_GBK"/>
          <w:bCs/>
          <w:color w:val="ff0000"/>
          <w:sz w:val="28"/>
          <w:szCs w:val="28"/>
        </w:rPr>
        <w:t xml:space="preserve">1.本项目对采购本国产品给予政策支持，具体内容见招标文件“第五章 评标方法与评标标准”。</w:t>
      </w:r>
      <w:r/>
    </w:p>
    <w:p>
      <w:pPr>
        <w:ind w:firstLine="555"/>
        <w:spacing w:line="400" w:lineRule="exact"/>
        <w:rPr>
          <w:rFonts w:hint="eastAsia" w:ascii="方正魏碑_GBK" w:hAnsi="方正魏碑_GBK" w:eastAsia="方正魏碑_GBK" w:cs="方正魏碑_GBK"/>
          <w:bCs/>
          <w:color w:val="ff0000"/>
          <w:sz w:val="28"/>
          <w:szCs w:val="28"/>
        </w:rPr>
      </w:pPr>
      <w:r>
        <w:rPr>
          <w:rFonts w:hint="eastAsia" w:ascii="方正魏碑_GBK" w:hAnsi="方正魏碑_GBK" w:eastAsia="方正魏碑_GBK" w:cs="方正魏碑_GBK"/>
          <w:bCs/>
          <w:color w:val="ff0000"/>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55"/>
        <w:spacing w:line="400" w:lineRule="exact"/>
        <w:rPr>
          <w:rFonts w:hint="eastAsia" w:ascii="方正魏碑_GBK" w:hAnsi="方正魏碑_GBK" w:eastAsia="方正魏碑_GBK" w:cs="方正魏碑_GBK"/>
          <w:bCs/>
          <w:color w:val="ff0000"/>
          <w:sz w:val="28"/>
          <w:szCs w:val="28"/>
        </w:rPr>
      </w:pPr>
      <w:r>
        <w:rPr>
          <w:rFonts w:hint="eastAsia" w:ascii="方正魏碑_GBK" w:hAnsi="方正魏碑_GBK" w:eastAsia="方正魏碑_GBK" w:cs="方正魏碑_GBK"/>
          <w:bCs/>
          <w:color w:val="ff0000"/>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0" w:lineRule="atLeast"/>
        <w:rPr>
          <w:rFonts w:hint="eastAsia" w:ascii="宋体" w:hAnsi="宋体"/>
          <w:b/>
          <w:color w:val="000000"/>
          <w:sz w:val="24"/>
          <w:szCs w:val="24"/>
        </w:rPr>
      </w:pPr>
      <w:r>
        <w:rPr>
          <w:rFonts w:hint="eastAsia" w:ascii="宋体" w:hAnsi="宋体"/>
          <w:b/>
          <w:color w:val="000000"/>
          <w:sz w:val="24"/>
          <w:szCs w:val="24"/>
        </w:rPr>
        <w:t xml:space="preserve">五</w:t>
      </w:r>
      <w:r>
        <w:rPr>
          <w:rFonts w:ascii="宋体" w:hAnsi="宋体"/>
          <w:b/>
          <w:color w:val="000000"/>
          <w:sz w:val="24"/>
          <w:szCs w:val="24"/>
        </w:rPr>
        <w:t xml:space="preserve">、其他要求</w:t>
      </w:r>
      <w:r/>
    </w:p>
    <w:p>
      <w:pPr>
        <w:spacing w:line="0" w:lineRule="atLeast"/>
        <w:rPr>
          <w:rFonts w:hint="eastAsia" w:ascii="宋体" w:hAnsi="宋体"/>
          <w:color w:val="000000"/>
          <w:sz w:val="24"/>
          <w:szCs w:val="24"/>
        </w:rPr>
      </w:pPr>
      <w:r>
        <w:rPr>
          <w:rFonts w:hint="eastAsia" w:ascii="宋体" w:hAnsi="宋体"/>
          <w:color w:val="000000"/>
          <w:sz w:val="24"/>
          <w:szCs w:val="24"/>
        </w:rPr>
        <w:t xml:space="preserve">1.项目属性</w:t>
      </w:r>
      <w:r>
        <w:rPr>
          <w:rFonts w:hint="eastAsia" w:ascii="宋体" w:hAnsi="宋体"/>
          <w:color w:val="000000"/>
          <w:sz w:val="24"/>
          <w:szCs w:val="24"/>
          <w:lang w:eastAsia="zh-CN"/>
        </w:rPr>
        <w:t xml:space="preserve">：</w:t>
      </w:r>
      <w:r>
        <w:rPr>
          <w:rFonts w:hint="eastAsia" w:ascii="宋体" w:hAnsi="宋体"/>
          <w:color w:val="000000"/>
          <w:sz w:val="24"/>
          <w:szCs w:val="24"/>
        </w:rPr>
        <w:t xml:space="preserve">货物类项目。</w:t>
      </w:r>
      <w:r/>
    </w:p>
    <w:p>
      <w:pPr>
        <w:spacing w:line="0" w:lineRule="atLeast"/>
        <w:rPr>
          <w:rFonts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w:t>
      </w:r>
      <w:r>
        <w:rPr>
          <w:rFonts w:hint="eastAsia" w:ascii="宋体" w:hAnsi="宋体"/>
          <w:sz w:val="24"/>
          <w:szCs w:val="24"/>
        </w:rPr>
        <w:t xml:space="preserve">核心产品</w:t>
      </w:r>
      <w:r/>
    </w:p>
    <w:tbl>
      <w:tblPr>
        <w:tblStyle w:val="893"/>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jc w:val="center"/>
              <w:rPr>
                <w:rFonts w:ascii="宋体" w:hAnsi="宋体"/>
                <w:szCs w:val="21"/>
              </w:rPr>
            </w:pPr>
            <w:r>
              <w:rPr>
                <w:rFonts w:hint="eastAsia" w:ascii="宋体" w:hAnsi="宋体"/>
                <w:szCs w:val="21"/>
              </w:rPr>
              <w:t xml:space="preserve">采购</w:t>
            </w:r>
            <w:r/>
          </w:p>
          <w:p>
            <w:pPr>
              <w:jc w:val="center"/>
              <w:rPr>
                <w:rFonts w:hint="eastAsia" w:ascii="宋体" w:hAnsi="宋体"/>
                <w:szCs w:val="21"/>
              </w:rPr>
            </w:pPr>
            <w:r>
              <w:rPr>
                <w:rFonts w:hint="eastAsia" w:ascii="宋体" w:hAnsi="宋体"/>
                <w:szCs w:val="21"/>
              </w:rPr>
              <w:t xml:space="preserve">包号</w:t>
            </w:r>
            <w:r/>
          </w:p>
        </w:tc>
        <w:tc>
          <w:tcPr>
            <w:tcW w:w="3052" w:type="dxa"/>
            <w:vAlign w:val="top"/>
            <w:textDirection w:val="lrTb"/>
            <w:noWrap w:val="false"/>
          </w:tcPr>
          <w:p>
            <w:pPr>
              <w:jc w:val="center"/>
              <w:rPr>
                <w:rFonts w:hint="eastAsia" w:ascii="宋体" w:hAnsi="宋体"/>
                <w:szCs w:val="21"/>
              </w:rPr>
            </w:pPr>
            <w:r>
              <w:rPr>
                <w:rFonts w:hint="eastAsia" w:ascii="宋体" w:hAnsi="宋体"/>
                <w:szCs w:val="21"/>
              </w:rPr>
              <w:t xml:space="preserve">核心产品</w:t>
            </w:r>
            <w:r/>
          </w:p>
        </w:tc>
      </w:tr>
      <w:tr>
        <w:trPr/>
        <w:tc>
          <w:tcPr>
            <w:tcW w:w="896" w:type="dxa"/>
            <w:vAlign w:val="top"/>
            <w:textDirection w:val="lrTb"/>
            <w:noWrap w:val="false"/>
          </w:tcPr>
          <w:p>
            <w:pPr>
              <w:jc w:val="center"/>
              <w:rPr>
                <w:rFonts w:ascii="宋体" w:hAnsi="宋体"/>
                <w:szCs w:val="21"/>
              </w:rPr>
            </w:pPr>
            <w:r>
              <w:rPr>
                <w:rFonts w:hint="eastAsia" w:ascii="宋体" w:hAnsi="宋体"/>
                <w:szCs w:val="21"/>
              </w:rPr>
              <w:t xml:space="preserve">1</w:t>
            </w:r>
            <w:r/>
          </w:p>
        </w:tc>
        <w:tc>
          <w:tcPr>
            <w:tcW w:w="3052" w:type="dxa"/>
            <w:vAlign w:val="top"/>
            <w:textDirection w:val="lrTb"/>
            <w:noWrap w:val="false"/>
          </w:tcPr>
          <w:p>
            <w:pPr>
              <w:jc w:val="center"/>
              <w:rPr>
                <w:rFonts w:hint="eastAsia" w:ascii="宋体" w:hAnsi="宋体"/>
                <w:szCs w:val="21"/>
              </w:rPr>
            </w:pPr>
            <w:r>
              <w:rPr>
                <w:rFonts w:hint="eastAsia" w:ascii="宋体" w:hAnsi="宋体"/>
                <w:szCs w:val="21"/>
                <w:lang w:val="en-US" w:eastAsia="zh-CN"/>
              </w:rPr>
              <w:t xml:space="preserve">医用环保治疗柜</w:t>
            </w:r>
            <w:r/>
          </w:p>
        </w:tc>
      </w:tr>
    </w:tbl>
    <w:p>
      <w:pPr>
        <w:spacing w:line="0" w:lineRule="atLeast"/>
        <w:rPr>
          <w:rFonts w:ascii="宋体" w:hAnsi="宋体"/>
          <w:sz w:val="24"/>
          <w:szCs w:val="24"/>
        </w:rPr>
      </w:pPr>
      <w:r>
        <w:rPr>
          <w:rFonts w:hint="eastAsia" w:ascii="宋体" w:hAnsi="宋体"/>
          <w:sz w:val="24"/>
          <w:szCs w:val="24"/>
        </w:rPr>
        <w:t xml:space="preserve">3.进口</w:t>
      </w:r>
      <w:r>
        <w:rPr>
          <w:rFonts w:ascii="宋体" w:hAnsi="宋体"/>
          <w:sz w:val="24"/>
          <w:szCs w:val="24"/>
        </w:rPr>
        <w:t xml:space="preserve">产品</w:t>
      </w:r>
      <w:r>
        <w:rPr>
          <w:rFonts w:hint="eastAsia" w:ascii="宋体" w:hAnsi="宋体"/>
          <w:sz w:val="24"/>
          <w:szCs w:val="24"/>
        </w:rPr>
        <w:t xml:space="preserve">投标</w:t>
      </w:r>
      <w:r/>
    </w:p>
    <w:tbl>
      <w:tblPr>
        <w:tblStyle w:val="893"/>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jc w:val="center"/>
              <w:rPr>
                <w:rFonts w:ascii="宋体" w:hAnsi="宋体"/>
                <w:szCs w:val="21"/>
              </w:rPr>
            </w:pPr>
            <w:r>
              <w:rPr>
                <w:rFonts w:hint="eastAsia" w:ascii="宋体" w:hAnsi="宋体"/>
                <w:szCs w:val="21"/>
              </w:rPr>
              <w:t xml:space="preserve">采购</w:t>
            </w:r>
            <w:r/>
          </w:p>
          <w:p>
            <w:pPr>
              <w:jc w:val="center"/>
              <w:rPr>
                <w:rFonts w:hint="eastAsia" w:ascii="宋体" w:hAnsi="宋体"/>
                <w:szCs w:val="21"/>
              </w:rPr>
            </w:pPr>
            <w:r>
              <w:rPr>
                <w:rFonts w:hint="eastAsia" w:ascii="宋体" w:hAnsi="宋体"/>
                <w:szCs w:val="21"/>
              </w:rPr>
              <w:t xml:space="preserve">包号</w:t>
            </w:r>
            <w:r/>
          </w:p>
        </w:tc>
        <w:tc>
          <w:tcPr>
            <w:tcW w:w="3052" w:type="dxa"/>
            <w:vAlign w:val="top"/>
            <w:textDirection w:val="lrTb"/>
            <w:noWrap w:val="false"/>
          </w:tcPr>
          <w:p>
            <w:pPr>
              <w:jc w:val="center"/>
              <w:rPr>
                <w:rFonts w:ascii="宋体" w:hAnsi="宋体"/>
                <w:szCs w:val="21"/>
              </w:rPr>
            </w:pPr>
            <w:r>
              <w:rPr>
                <w:rFonts w:hint="eastAsia" w:ascii="宋体" w:hAnsi="宋体"/>
                <w:szCs w:val="21"/>
              </w:rPr>
              <w:t xml:space="preserve">是否接受</w:t>
            </w:r>
            <w:r>
              <w:rPr>
                <w:rFonts w:ascii="宋体" w:hAnsi="宋体"/>
                <w:szCs w:val="21"/>
              </w:rPr>
              <w:t xml:space="preserve">进口产品投标</w:t>
            </w:r>
            <w:r/>
          </w:p>
          <w:p>
            <w:pPr>
              <w:jc w:val="center"/>
              <w:rPr>
                <w:rFonts w:hint="eastAsia" w:ascii="宋体" w:hAnsi="宋体"/>
                <w:szCs w:val="21"/>
              </w:rPr>
            </w:pPr>
            <w:r>
              <w:rPr>
                <w:rFonts w:hint="eastAsia" w:ascii="宋体" w:hAnsi="宋体"/>
                <w:szCs w:val="21"/>
              </w:rPr>
              <w:t xml:space="preserve">（是/否）</w:t>
            </w:r>
            <w:r/>
          </w:p>
        </w:tc>
      </w:tr>
      <w:tr>
        <w:trPr/>
        <w:tc>
          <w:tcPr>
            <w:tcW w:w="896" w:type="dxa"/>
            <w:vAlign w:val="top"/>
            <w:textDirection w:val="lrTb"/>
            <w:noWrap w:val="false"/>
          </w:tcPr>
          <w:p>
            <w:pPr>
              <w:jc w:val="center"/>
              <w:rPr>
                <w:rFonts w:ascii="宋体" w:hAnsi="宋体"/>
                <w:szCs w:val="21"/>
              </w:rPr>
            </w:pPr>
            <w:r>
              <w:rPr>
                <w:rFonts w:hint="eastAsia" w:ascii="宋体" w:hAnsi="宋体"/>
                <w:szCs w:val="21"/>
              </w:rPr>
              <w:t xml:space="preserve">1</w:t>
            </w:r>
            <w:r/>
          </w:p>
        </w:tc>
        <w:tc>
          <w:tcPr>
            <w:tcW w:w="3052" w:type="dxa"/>
            <w:vAlign w:val="top"/>
            <w:textDirection w:val="lrTb"/>
            <w:noWrap w:val="false"/>
          </w:tcPr>
          <w:p>
            <w:pPr>
              <w:jc w:val="center"/>
              <w:rPr>
                <w:rFonts w:hint="eastAsia" w:ascii="宋体" w:hAnsi="宋体" w:eastAsia="宋体"/>
                <w:szCs w:val="21"/>
                <w:lang w:eastAsia="zh-CN"/>
              </w:rPr>
            </w:pPr>
            <w:r>
              <w:rPr>
                <w:rFonts w:hint="eastAsia" w:ascii="宋体" w:hAnsi="宋体"/>
                <w:szCs w:val="21"/>
                <w:lang w:val="en-US" w:eastAsia="zh-CN"/>
              </w:rPr>
              <w:t xml:space="preserve">否</w:t>
            </w:r>
            <w:r/>
          </w:p>
        </w:tc>
      </w:tr>
    </w:tbl>
    <w:p>
      <w:pPr>
        <w:spacing w:line="0" w:lineRule="atLeast"/>
        <w:rPr>
          <w:rFonts w:hint="eastAsia" w:ascii="宋体" w:hAnsi="宋体"/>
          <w:sz w:val="24"/>
          <w:szCs w:val="24"/>
        </w:rPr>
      </w:pPr>
      <w:r>
        <w:rPr>
          <w:rFonts w:hint="eastAsia" w:ascii="宋体" w:hAnsi="宋体"/>
          <w:sz w:val="24"/>
          <w:szCs w:val="24"/>
        </w:rPr>
        <w:t xml:space="preserve">（备注：如果本项目采购包</w:t>
      </w:r>
      <w:r>
        <w:rPr>
          <w:rFonts w:hint="eastAsia" w:ascii="宋体" w:hAnsi="宋体"/>
          <w:sz w:val="24"/>
          <w:szCs w:val="24"/>
          <w:lang w:val="en-US" w:eastAsia="zh-CN"/>
        </w:rPr>
        <w:t xml:space="preserve">1</w:t>
      </w:r>
      <w:r>
        <w:rPr>
          <w:rFonts w:hint="eastAsia" w:ascii="宋体" w:hAnsi="宋体"/>
          <w:sz w:val="24"/>
          <w:szCs w:val="24"/>
        </w:rPr>
        <w:t xml:space="preserve">不接受进口产品投标，供应商使用进口产品投标</w:t>
      </w:r>
      <w:r>
        <w:rPr>
          <w:rFonts w:hint="eastAsia" w:ascii="宋体" w:hAnsi="宋体"/>
          <w:sz w:val="24"/>
          <w:szCs w:val="24"/>
          <w:lang w:eastAsia="zh-CN"/>
        </w:rPr>
        <w:t xml:space="preserve">，</w:t>
      </w:r>
      <w:r>
        <w:rPr>
          <w:rFonts w:hint="eastAsia" w:ascii="宋体" w:hAnsi="宋体"/>
          <w:sz w:val="24"/>
          <w:szCs w:val="24"/>
        </w:rPr>
        <w:t xml:space="preserve">则投标人该采购包作无效投标处理。）</w:t>
      </w:r>
      <w:r/>
    </w:p>
    <w:p>
      <w:pPr>
        <w:numPr>
          <w:ilvl w:val="0"/>
          <w:numId w:val="0"/>
        </w:numPr>
        <w:spacing w:line="0" w:lineRule="atLeast"/>
        <w:rPr>
          <w:rFonts w:hint="eastAsia" w:ascii="宋体" w:hAnsi="宋体"/>
          <w:sz w:val="24"/>
          <w:szCs w:val="24"/>
          <w:highlight w:val="yellow"/>
        </w:rPr>
      </w:pPr>
      <w:r>
        <w:rPr>
          <w:rFonts w:hint="eastAsia" w:ascii="宋体" w:hAnsi="宋体"/>
          <w:sz w:val="24"/>
          <w:szCs w:val="24"/>
          <w:highlight w:val="yellow"/>
          <w:lang w:val="en-US" w:eastAsia="zh-CN"/>
        </w:rPr>
        <w:t xml:space="preserve">4.</w:t>
      </w:r>
      <w:r>
        <w:rPr>
          <w:rFonts w:hint="eastAsia" w:ascii="宋体" w:hAnsi="宋体"/>
          <w:sz w:val="24"/>
          <w:szCs w:val="24"/>
          <w:highlight w:val="yellow"/>
        </w:rPr>
        <w:t xml:space="preserve">样品管理</w:t>
      </w:r>
      <w:r/>
    </w:p>
    <w:p>
      <w:pPr>
        <w:ind w:firstLine="480"/>
        <w:keepLines w:val="0"/>
        <w:keepNext w:val="0"/>
        <w:pageBreakBefore w:val="0"/>
        <w:spacing w:line="240" w:lineRule="atLeast"/>
        <w:widowControl w:val="off"/>
        <w:rPr>
          <w:rFonts w:hint="eastAsia" w:ascii="宋体" w:hAnsi="宋体"/>
          <w:sz w:val="24"/>
          <w:szCs w:val="21"/>
        </w:rPr>
      </w:pPr>
      <w:r>
        <w:rPr>
          <w:rFonts w:hint="eastAsia" w:ascii="宋体" w:hAnsi="宋体"/>
          <w:sz w:val="24"/>
          <w:szCs w:val="21"/>
        </w:rPr>
        <w:t xml:space="preserve">4.1样品送达时间</w:t>
      </w:r>
      <w:r/>
    </w:p>
    <w:p>
      <w:pPr>
        <w:ind w:firstLine="480"/>
        <w:keepLines w:val="0"/>
        <w:keepNext w:val="0"/>
        <w:pageBreakBefore w:val="0"/>
        <w:spacing w:line="0" w:lineRule="atLeast"/>
        <w:widowControl w:val="off"/>
        <w:rPr>
          <w:rFonts w:hint="eastAsia" w:ascii="宋体" w:hAnsi="宋体"/>
          <w:sz w:val="24"/>
          <w:szCs w:val="21"/>
          <w:highlight w:val="yellow"/>
        </w:rPr>
      </w:pPr>
      <w:r>
        <w:rPr>
          <w:rFonts w:hint="eastAsia" w:ascii="宋体" w:hAnsi="宋体"/>
          <w:sz w:val="24"/>
          <w:szCs w:val="21"/>
        </w:rPr>
        <w:t xml:space="preserve">投标人最晚在开标截止时间前一天</w:t>
      </w:r>
      <w:r>
        <w:rPr>
          <w:rFonts w:hint="eastAsia" w:ascii="宋体" w:hAnsi="宋体"/>
          <w:b/>
          <w:bCs/>
          <w:sz w:val="24"/>
          <w:szCs w:val="21"/>
        </w:rPr>
        <w:t xml:space="preserve">（2025年1月</w:t>
      </w:r>
      <w:r>
        <w:rPr>
          <w:rFonts w:hint="eastAsia" w:ascii="宋体" w:hAnsi="宋体"/>
          <w:b/>
          <w:bCs/>
          <w:sz w:val="24"/>
          <w:szCs w:val="21"/>
          <w:lang w:val="en-US" w:eastAsia="zh-CN"/>
        </w:rPr>
        <w:t xml:space="preserve">28</w:t>
      </w:r>
      <w:r>
        <w:rPr>
          <w:rFonts w:hint="eastAsia" w:ascii="宋体" w:hAnsi="宋体"/>
          <w:b/>
          <w:bCs/>
          <w:sz w:val="24"/>
          <w:szCs w:val="21"/>
        </w:rPr>
        <w:t xml:space="preserve">日17:30前）</w:t>
      </w:r>
      <w:r>
        <w:rPr>
          <w:rFonts w:hint="eastAsia" w:ascii="宋体" w:hAnsi="宋体"/>
          <w:sz w:val="24"/>
          <w:szCs w:val="21"/>
        </w:rPr>
        <w:t xml:space="preserve">将提供的样品送至</w:t>
      </w:r>
      <w:r>
        <w:rPr>
          <w:rFonts w:hint="eastAsia" w:ascii="宋体" w:hAnsi="宋体"/>
          <w:sz w:val="24"/>
          <w:szCs w:val="21"/>
          <w:lang w:val="en-US" w:eastAsia="zh-CN"/>
        </w:rPr>
        <w:t xml:space="preserve">样品接收人</w:t>
      </w:r>
      <w:r>
        <w:rPr>
          <w:rFonts w:hint="eastAsia" w:ascii="宋体" w:hAnsi="宋体"/>
          <w:sz w:val="24"/>
          <w:szCs w:val="21"/>
        </w:rPr>
        <w:t xml:space="preserve">指定存放区。可通过邮寄方式，但邮寄途中，如货物发生损坏或者丢失，</w:t>
      </w:r>
      <w:r>
        <w:rPr>
          <w:rFonts w:hint="eastAsia" w:ascii="宋体" w:hAnsi="宋体"/>
          <w:sz w:val="24"/>
          <w:szCs w:val="21"/>
          <w:lang w:val="en-US" w:eastAsia="zh-CN"/>
        </w:rPr>
        <w:t xml:space="preserve">采购人</w:t>
      </w:r>
      <w:r>
        <w:rPr>
          <w:rFonts w:hint="eastAsia" w:ascii="宋体" w:hAnsi="宋体"/>
          <w:sz w:val="24"/>
          <w:szCs w:val="21"/>
        </w:rPr>
        <w:t xml:space="preserve">不承担任何责任。</w:t>
      </w:r>
      <w:r/>
    </w:p>
    <w:p>
      <w:pPr>
        <w:ind w:firstLine="480"/>
        <w:keepLines w:val="0"/>
        <w:keepNext w:val="0"/>
        <w:pageBreakBefore w:val="0"/>
        <w:spacing w:line="0" w:lineRule="atLeast"/>
        <w:widowControl w:val="off"/>
        <w:rPr>
          <w:rFonts w:hint="eastAsia" w:ascii="宋体" w:hAnsi="宋体"/>
          <w:b/>
          <w:bCs/>
          <w:sz w:val="24"/>
          <w:szCs w:val="21"/>
        </w:rPr>
      </w:pPr>
      <w:r>
        <w:rPr>
          <w:rFonts w:hint="eastAsia" w:ascii="宋体" w:hAnsi="宋体"/>
          <w:b/>
          <w:bCs/>
          <w:sz w:val="24"/>
          <w:szCs w:val="21"/>
        </w:rPr>
        <w:t xml:space="preserve">提醒：</w:t>
      </w:r>
      <w:r>
        <w:rPr>
          <w:rFonts w:hint="eastAsia" w:ascii="宋体" w:hAnsi="宋体"/>
          <w:b/>
          <w:bCs/>
          <w:sz w:val="24"/>
          <w:szCs w:val="21"/>
          <w:lang w:eastAsia="zh-CN"/>
        </w:rPr>
        <w:t xml:space="preserve">（</w:t>
      </w:r>
      <w:r>
        <w:rPr>
          <w:rFonts w:hint="eastAsia" w:ascii="宋体" w:hAnsi="宋体"/>
          <w:b/>
          <w:bCs/>
          <w:sz w:val="24"/>
          <w:szCs w:val="21"/>
          <w:lang w:val="en-US" w:eastAsia="zh-CN"/>
        </w:rPr>
        <w:t xml:space="preserve">1</w:t>
      </w:r>
      <w:r>
        <w:rPr>
          <w:rFonts w:hint="eastAsia" w:ascii="宋体" w:hAnsi="宋体"/>
          <w:b/>
          <w:bCs/>
          <w:sz w:val="24"/>
          <w:szCs w:val="21"/>
          <w:lang w:eastAsia="zh-CN"/>
        </w:rPr>
        <w:t xml:space="preserve">）</w:t>
      </w:r>
      <w:r>
        <w:rPr>
          <w:rFonts w:hint="eastAsia" w:ascii="宋体" w:hAnsi="宋体"/>
          <w:b/>
          <w:bCs/>
          <w:sz w:val="24"/>
          <w:szCs w:val="21"/>
        </w:rPr>
        <w:t xml:space="preserve">建议各投标人考虑交通拥堵或其他突发情况，预留足够样品送达时间，避免因样品送达逾期被拒绝接收。</w:t>
      </w:r>
      <w:r/>
    </w:p>
    <w:p>
      <w:pPr>
        <w:ind w:firstLine="480"/>
        <w:keepLines w:val="0"/>
        <w:keepNext w:val="0"/>
        <w:pageBreakBefore w:val="0"/>
        <w:spacing w:line="0" w:lineRule="atLeast"/>
        <w:widowControl w:val="off"/>
        <w:rPr>
          <w:rFonts w:hint="eastAsia" w:ascii="宋体" w:hAnsi="宋体"/>
          <w:b/>
          <w:bCs/>
          <w:sz w:val="24"/>
          <w:szCs w:val="24"/>
        </w:rPr>
      </w:pPr>
      <w:r>
        <w:rPr>
          <w:rFonts w:hint="eastAsia" w:ascii="宋体" w:hAnsi="宋体"/>
          <w:b/>
          <w:bCs/>
          <w:sz w:val="24"/>
          <w:szCs w:val="24"/>
          <w:lang w:eastAsia="zh-CN"/>
        </w:rPr>
        <w:t xml:space="preserve">（</w:t>
      </w:r>
      <w:r>
        <w:rPr>
          <w:rFonts w:hint="eastAsia" w:ascii="宋体" w:hAnsi="宋体"/>
          <w:b/>
          <w:bCs/>
          <w:sz w:val="24"/>
          <w:szCs w:val="24"/>
          <w:lang w:val="en-US" w:eastAsia="zh-CN"/>
        </w:rPr>
        <w:t xml:space="preserve">2</w:t>
      </w:r>
      <w:r>
        <w:rPr>
          <w:rFonts w:hint="eastAsia" w:ascii="宋体" w:hAnsi="宋体"/>
          <w:b/>
          <w:bCs/>
          <w:sz w:val="24"/>
          <w:szCs w:val="24"/>
          <w:lang w:eastAsia="zh-CN"/>
        </w:rPr>
        <w:t xml:space="preserve">）</w:t>
      </w:r>
      <w:r>
        <w:rPr>
          <w:rFonts w:hint="eastAsia" w:ascii="宋体" w:hAnsi="宋体"/>
          <w:b/>
          <w:bCs/>
          <w:sz w:val="24"/>
          <w:szCs w:val="24"/>
        </w:rPr>
        <w:t xml:space="preserve">供应商提交的样品</w:t>
      </w:r>
      <w:r>
        <w:rPr>
          <w:rFonts w:hint="eastAsia" w:ascii="宋体" w:hAnsi="宋体"/>
          <w:b/>
          <w:bCs/>
          <w:sz w:val="24"/>
          <w:szCs w:val="24"/>
          <w:lang w:val="en-US" w:eastAsia="zh-CN"/>
        </w:rPr>
        <w:t xml:space="preserve">需</w:t>
      </w:r>
      <w:r>
        <w:rPr>
          <w:rFonts w:hint="eastAsia" w:ascii="宋体" w:hAnsi="宋体"/>
          <w:b/>
          <w:bCs/>
          <w:sz w:val="24"/>
          <w:szCs w:val="24"/>
        </w:rPr>
        <w:t xml:space="preserve">密封</w:t>
      </w:r>
      <w:r>
        <w:rPr>
          <w:rFonts w:hint="eastAsia" w:ascii="宋体" w:hAnsi="宋体"/>
          <w:b/>
          <w:bCs/>
          <w:sz w:val="24"/>
          <w:szCs w:val="24"/>
          <w:lang w:eastAsia="zh-CN"/>
        </w:rPr>
        <w:t xml:space="preserve">，</w:t>
      </w:r>
      <w:r>
        <w:rPr>
          <w:rFonts w:hint="eastAsia" w:ascii="宋体" w:hAnsi="宋体"/>
          <w:b/>
          <w:bCs/>
          <w:sz w:val="24"/>
          <w:szCs w:val="24"/>
        </w:rPr>
        <w:t xml:space="preserve">并不得含有供应商名称</w:t>
      </w:r>
      <w:r>
        <w:rPr>
          <w:rFonts w:hint="eastAsia" w:ascii="宋体" w:hAnsi="宋体"/>
          <w:b/>
          <w:bCs/>
          <w:sz w:val="24"/>
          <w:szCs w:val="24"/>
          <w:lang w:eastAsia="zh-CN"/>
        </w:rPr>
        <w:t xml:space="preserve">、</w:t>
      </w:r>
      <w:r>
        <w:rPr>
          <w:rFonts w:hint="eastAsia" w:ascii="宋体" w:hAnsi="宋体"/>
          <w:b/>
          <w:bCs/>
          <w:sz w:val="24"/>
          <w:szCs w:val="24"/>
          <w:lang w:val="en-US" w:eastAsia="zh-CN"/>
        </w:rPr>
        <w:t xml:space="preserve">商标等标记，否则不得分</w:t>
      </w:r>
      <w:r>
        <w:rPr>
          <w:rFonts w:hint="eastAsia" w:ascii="宋体" w:hAnsi="宋体"/>
          <w:b/>
          <w:bCs/>
          <w:sz w:val="24"/>
          <w:szCs w:val="24"/>
        </w:rPr>
        <w:t xml:space="preserve">。</w:t>
      </w:r>
      <w:r/>
    </w:p>
    <w:p>
      <w:pPr>
        <w:ind w:firstLine="480"/>
        <w:keepLines w:val="0"/>
        <w:keepNext w:val="0"/>
        <w:pageBreakBefore w:val="0"/>
        <w:spacing w:line="0" w:lineRule="atLeast"/>
        <w:widowControl w:val="off"/>
        <w:rPr>
          <w:rFonts w:hint="eastAsia" w:ascii="宋体" w:hAnsi="宋体"/>
          <w:b/>
          <w:bCs/>
          <w:sz w:val="24"/>
          <w:szCs w:val="21"/>
        </w:rPr>
      </w:pPr>
      <w:r>
        <w:rPr>
          <w:rFonts w:hint="eastAsia" w:ascii="宋体" w:hAnsi="宋体"/>
          <w:b/>
          <w:bCs/>
          <w:sz w:val="24"/>
          <w:szCs w:val="24"/>
          <w:lang w:eastAsia="zh-CN"/>
        </w:rPr>
        <w:t xml:space="preserve">（</w:t>
      </w:r>
      <w:r>
        <w:rPr>
          <w:rFonts w:hint="eastAsia" w:ascii="宋体" w:hAnsi="宋体"/>
          <w:b/>
          <w:bCs/>
          <w:sz w:val="24"/>
          <w:szCs w:val="24"/>
          <w:lang w:val="en-US" w:eastAsia="zh-CN"/>
        </w:rPr>
        <w:t xml:space="preserve">3</w:t>
      </w:r>
      <w:r>
        <w:rPr>
          <w:rFonts w:hint="eastAsia" w:ascii="宋体" w:hAnsi="宋体"/>
          <w:b/>
          <w:bCs/>
          <w:sz w:val="24"/>
          <w:szCs w:val="24"/>
          <w:lang w:eastAsia="zh-CN"/>
        </w:rPr>
        <w:t xml:space="preserve">）</w:t>
      </w:r>
      <w:r>
        <w:rPr>
          <w:rFonts w:hint="eastAsia" w:ascii="宋体" w:hAnsi="宋体"/>
          <w:b/>
          <w:bCs/>
          <w:sz w:val="24"/>
          <w:szCs w:val="24"/>
        </w:rPr>
        <w:t xml:space="preserve">未按规定时间、地点及要求提交样品的，视为自动放弃样品评审资格。</w:t>
      </w:r>
      <w:r/>
    </w:p>
    <w:p>
      <w:pPr>
        <w:ind w:firstLine="480"/>
        <w:keepLines w:val="0"/>
        <w:keepNext w:val="0"/>
        <w:pageBreakBefore w:val="0"/>
        <w:spacing w:line="0" w:lineRule="atLeast"/>
        <w:widowControl w:val="off"/>
        <w:rPr>
          <w:rFonts w:hint="eastAsia" w:ascii="宋体" w:hAnsi="宋体" w:eastAsia="宋体"/>
          <w:sz w:val="24"/>
          <w:szCs w:val="24"/>
          <w:lang w:eastAsia="zh-CN"/>
        </w:rPr>
      </w:pPr>
      <w:r>
        <w:rPr>
          <w:rFonts w:hint="eastAsia" w:ascii="宋体" w:hAnsi="宋体"/>
          <w:sz w:val="24"/>
          <w:szCs w:val="24"/>
        </w:rPr>
        <w:t xml:space="preserve">4.2样品递交地点：</w:t>
      </w:r>
      <w:r>
        <w:rPr>
          <w:rFonts w:hint="eastAsia" w:ascii="宋体" w:hAnsi="宋体"/>
          <w:sz w:val="24"/>
          <w:szCs w:val="21"/>
          <w:lang w:val="en-US" w:eastAsia="zh-CN"/>
        </w:rPr>
        <w:t xml:space="preserve">样品接收人</w:t>
      </w:r>
      <w:r>
        <w:rPr>
          <w:rFonts w:hint="eastAsia" w:ascii="宋体" w:hAnsi="宋体"/>
          <w:sz w:val="24"/>
          <w:szCs w:val="21"/>
        </w:rPr>
        <w:t xml:space="preserve">指定存放区</w:t>
      </w:r>
      <w:r>
        <w:rPr>
          <w:rFonts w:hint="eastAsia" w:ascii="宋体" w:hAnsi="宋体"/>
          <w:sz w:val="24"/>
          <w:szCs w:val="24"/>
        </w:rPr>
        <w:t xml:space="preserve">。</w:t>
      </w:r>
      <w:r/>
    </w:p>
    <w:p>
      <w:pPr>
        <w:ind w:firstLine="480"/>
        <w:keepLines w:val="0"/>
        <w:keepNext w:val="0"/>
        <w:pageBreakBefore w:val="0"/>
        <w:spacing w:line="0" w:lineRule="atLeast"/>
        <w:widowControl w:val="off"/>
        <w:rPr>
          <w:rFonts w:hint="eastAsia" w:ascii="宋体" w:hAnsi="宋体"/>
          <w:b/>
          <w:bCs/>
          <w:sz w:val="24"/>
          <w:szCs w:val="24"/>
        </w:rPr>
      </w:pPr>
      <w:r>
        <w:rPr>
          <w:rFonts w:hint="eastAsia" w:ascii="宋体" w:hAnsi="宋体"/>
          <w:b/>
          <w:bCs/>
          <w:sz w:val="24"/>
          <w:szCs w:val="24"/>
        </w:rPr>
        <w:t xml:space="preserve">4.3样品接收人/退还人：霍主任；联系方式：13813332755。</w:t>
      </w:r>
      <w:r/>
    </w:p>
    <w:p>
      <w:pPr>
        <w:numPr>
          <w:ilvl w:val="0"/>
          <w:numId w:val="8"/>
        </w:numPr>
        <w:ind w:firstLine="480"/>
        <w:keepLines w:val="0"/>
        <w:keepNext w:val="0"/>
        <w:pageBreakBefore w:val="0"/>
        <w:spacing w:line="0" w:lineRule="atLeast"/>
        <w:widowControl w:val="off"/>
        <w:rPr>
          <w:rFonts w:hint="eastAsia" w:ascii="宋体" w:hAnsi="宋体" w:eastAsia="宋体"/>
          <w:sz w:val="24"/>
          <w:szCs w:val="24"/>
          <w:lang w:eastAsia="zh-CN"/>
        </w:rPr>
      </w:pPr>
      <w:r>
        <w:rPr>
          <w:rFonts w:hint="eastAsia" w:ascii="宋体" w:hAnsi="宋体"/>
          <w:sz w:val="24"/>
          <w:szCs w:val="24"/>
        </w:rPr>
        <w:t xml:space="preserve">样品接收人编制《样品信息对应表》，对应公司名称，按签收顺序依次编号：“01.02.03…”，样品接收时间截止后，将该表密封。</w:t>
      </w:r>
      <w:r/>
    </w:p>
    <w:p>
      <w:pPr>
        <w:numPr>
          <w:ilvl w:val="0"/>
          <w:numId w:val="8"/>
        </w:numPr>
        <w:ind w:firstLine="480"/>
        <w:keepLines w:val="0"/>
        <w:keepNext w:val="0"/>
        <w:pageBreakBefore w:val="0"/>
        <w:spacing w:line="0" w:lineRule="atLeast"/>
        <w:widowControl w:val="off"/>
        <w:rPr>
          <w:rFonts w:hint="eastAsia" w:ascii="宋体" w:hAnsi="宋体" w:eastAsia="宋体"/>
          <w:sz w:val="24"/>
          <w:szCs w:val="24"/>
          <w:lang w:eastAsia="zh-CN"/>
        </w:rPr>
      </w:pPr>
      <w:r>
        <w:rPr>
          <w:rFonts w:hint="eastAsia" w:ascii="宋体" w:hAnsi="宋体" w:eastAsia="宋体"/>
          <w:sz w:val="24"/>
          <w:szCs w:val="24"/>
          <w:lang w:eastAsia="zh-CN"/>
        </w:rPr>
        <w:t xml:space="preserve">《样品信息对应表》和所有样品开标结束后由采购人（</w:t>
      </w:r>
      <w:r>
        <w:rPr>
          <w:rFonts w:hint="eastAsia" w:ascii="宋体" w:hAnsi="宋体"/>
          <w:sz w:val="24"/>
          <w:szCs w:val="24"/>
          <w:lang w:val="en-US" w:eastAsia="zh-CN"/>
        </w:rPr>
        <w:t xml:space="preserve">采购中心</w:t>
      </w:r>
      <w:r>
        <w:rPr>
          <w:rFonts w:hint="eastAsia" w:ascii="宋体" w:hAnsi="宋体" w:eastAsia="宋体"/>
          <w:sz w:val="24"/>
          <w:szCs w:val="24"/>
          <w:lang w:eastAsia="zh-CN"/>
        </w:rPr>
        <w:t xml:space="preserve">）统一送入评审室。样品接收人不参与评审环节。</w:t>
      </w:r>
      <w:r/>
    </w:p>
    <w:p>
      <w:pPr>
        <w:numPr>
          <w:ilvl w:val="0"/>
          <w:numId w:val="8"/>
        </w:numPr>
        <w:ind w:firstLine="480"/>
        <w:keepLines w:val="0"/>
        <w:keepNext w:val="0"/>
        <w:pageBreakBefore w:val="0"/>
        <w:spacing w:line="0" w:lineRule="atLeast"/>
        <w:widowControl w:val="off"/>
        <w:rPr>
          <w:rFonts w:hint="eastAsia" w:ascii="宋体" w:hAnsi="宋体" w:eastAsia="宋体"/>
          <w:sz w:val="24"/>
          <w:szCs w:val="24"/>
          <w:lang w:eastAsia="zh-CN"/>
        </w:rPr>
      </w:pPr>
      <w:r>
        <w:rPr>
          <w:rFonts w:hint="eastAsia" w:ascii="宋体" w:hAnsi="宋体" w:eastAsia="宋体"/>
          <w:sz w:val="24"/>
          <w:szCs w:val="24"/>
          <w:lang w:eastAsia="zh-CN"/>
        </w:rPr>
        <w:t xml:space="preserve">评标委员会根据样品编号进行匿名打分，所有样品评分完成后，在评审室内当众拆封《样品信息对应表》，评标委员会将各投标人的样品得分计入总分。</w:t>
      </w:r>
      <w:r/>
    </w:p>
    <w:p>
      <w:pPr>
        <w:ind w:firstLine="480"/>
        <w:keepLines w:val="0"/>
        <w:keepNext w:val="0"/>
        <w:pageBreakBefore w:val="0"/>
        <w:spacing w:line="0" w:lineRule="atLeast"/>
        <w:widowControl w:val="off"/>
        <w:rPr>
          <w:rFonts w:ascii="宋体" w:hAnsi="宋体"/>
          <w:sz w:val="24"/>
          <w:szCs w:val="24"/>
        </w:rPr>
      </w:pPr>
      <w:r>
        <w:rPr>
          <w:rFonts w:hint="eastAsia" w:ascii="宋体" w:hAnsi="宋体"/>
          <w:sz w:val="24"/>
          <w:szCs w:val="24"/>
        </w:rPr>
        <w:t xml:space="preserve">4.4供应商需提交以下样品：</w:t>
      </w:r>
      <w:r/>
    </w:p>
    <w:p>
      <w:pPr>
        <w:ind w:firstLine="480"/>
        <w:keepLines w:val="0"/>
        <w:keepNext w:val="0"/>
        <w:pageBreakBefore w:val="0"/>
        <w:spacing w:line="0" w:lineRule="atLeast"/>
        <w:widowControl w:val="off"/>
        <w:rPr>
          <w:rFonts w:ascii="宋体" w:hAnsi="宋体"/>
          <w:sz w:val="24"/>
          <w:szCs w:val="24"/>
        </w:rPr>
      </w:pPr>
      <w:r>
        <w:rPr>
          <w:rFonts w:hint="eastAsia" w:ascii="宋体" w:hAnsi="宋体"/>
          <w:sz w:val="24"/>
          <w:szCs w:val="24"/>
        </w:rPr>
        <w:t xml:space="preserve">（1）垃圾盖</w:t>
      </w:r>
      <w:r/>
    </w:p>
    <w:p>
      <w:pPr>
        <w:ind w:firstLine="480"/>
        <w:keepLines w:val="0"/>
        <w:keepNext w:val="0"/>
        <w:pageBreakBefore w:val="0"/>
        <w:spacing w:line="0" w:lineRule="atLeast"/>
        <w:widowControl w:val="off"/>
        <w:rPr>
          <w:rFonts w:ascii="宋体" w:hAnsi="宋体"/>
          <w:sz w:val="24"/>
          <w:szCs w:val="24"/>
        </w:rPr>
      </w:pPr>
      <w:r>
        <w:rPr>
          <w:rFonts w:hint="eastAsia" w:ascii="宋体" w:hAnsi="宋体"/>
          <w:sz w:val="24"/>
          <w:szCs w:val="24"/>
        </w:rPr>
        <w:t xml:space="preserve">（2）导轨</w:t>
      </w:r>
      <w:r/>
    </w:p>
    <w:p>
      <w:pPr>
        <w:ind w:firstLine="480"/>
        <w:keepLines w:val="0"/>
        <w:keepNext w:val="0"/>
        <w:pageBreakBefore w:val="0"/>
        <w:spacing w:line="0" w:lineRule="atLeast"/>
        <w:widowControl w:val="off"/>
        <w:rPr>
          <w:rFonts w:hint="eastAsia" w:ascii="宋体" w:hAnsi="宋体"/>
          <w:sz w:val="24"/>
          <w:szCs w:val="24"/>
        </w:rPr>
      </w:pPr>
      <w:r>
        <w:rPr>
          <w:rFonts w:hint="eastAsia" w:ascii="宋体" w:hAnsi="宋体"/>
          <w:sz w:val="24"/>
          <w:szCs w:val="24"/>
        </w:rPr>
        <w:t xml:space="preserve">（3）铰链</w:t>
      </w:r>
      <w:r/>
    </w:p>
    <w:p>
      <w:pPr>
        <w:ind w:firstLine="480"/>
        <w:keepLines w:val="0"/>
        <w:keepNext w:val="0"/>
        <w:pageBreakBefore w:val="0"/>
        <w:spacing w:line="0" w:lineRule="atLeast"/>
        <w:widowControl w:val="off"/>
        <w:rPr>
          <w:rFonts w:hint="eastAsia" w:ascii="宋体" w:hAnsi="宋体"/>
          <w:sz w:val="24"/>
          <w:szCs w:val="24"/>
          <w:lang w:eastAsia="zh-CN"/>
        </w:rPr>
      </w:pPr>
      <w:r>
        <w:rPr>
          <w:rFonts w:hint="eastAsia" w:ascii="宋体" w:hAnsi="宋体"/>
          <w:sz w:val="24"/>
          <w:szCs w:val="24"/>
          <w:lang w:eastAsia="zh-CN"/>
        </w:rPr>
        <w:t xml:space="preserve">（</w:t>
      </w:r>
      <w:r>
        <w:rPr>
          <w:rFonts w:hint="eastAsia" w:ascii="宋体" w:hAnsi="宋体"/>
          <w:sz w:val="24"/>
          <w:szCs w:val="24"/>
          <w:lang w:val="en-US" w:eastAsia="zh-CN"/>
        </w:rPr>
        <w:t xml:space="preserve">4</w:t>
      </w:r>
      <w:r>
        <w:rPr>
          <w:rFonts w:hint="eastAsia" w:ascii="宋体" w:hAnsi="宋体"/>
          <w:sz w:val="24"/>
          <w:szCs w:val="24"/>
          <w:lang w:eastAsia="zh-CN"/>
        </w:rPr>
        <w:t xml:space="preserve">）锁具</w:t>
      </w:r>
      <w:r/>
    </w:p>
    <w:p>
      <w:pPr>
        <w:numPr>
          <w:ilvl w:val="0"/>
          <w:numId w:val="0"/>
        </w:numPr>
        <w:jc w:val="center"/>
        <w:spacing w:line="0" w:lineRule="atLeast"/>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样品清单</w:t>
      </w:r>
      <w:r/>
    </w:p>
    <w:tbl>
      <w:tblPr>
        <w:tblStyle w:val="901"/>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78"/>
        <w:gridCol w:w="7828"/>
        <w:gridCol w:w="856"/>
      </w:tblGrid>
      <w:tr>
        <w:trPr>
          <w:jc w:val="center"/>
          <w:trHeight w:val="0"/>
          <w:tblHeader/>
        </w:trPr>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ind w:left="0" w:right="0" w:firstLine="0"/>
              <w:jc w:val="center"/>
              <w:keepLines w:val="0"/>
              <w:keepNext w:val="0"/>
              <w:pageBreakBefore w:val="0"/>
              <w:spacing w:after="0" w:line="240" w:lineRule="auto"/>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样品名称</w:t>
            </w:r>
            <w:r/>
          </w:p>
        </w:tc>
        <w:tc>
          <w:tcPr>
            <w:tcBorders>
              <w:top w:val="single" w:color="auto" w:sz="4" w:space="0"/>
              <w:left w:val="single" w:color="auto" w:sz="4" w:space="0"/>
              <w:bottom w:val="single" w:color="auto" w:sz="4" w:space="0"/>
              <w:right w:val="single" w:color="auto" w:sz="4" w:space="0"/>
            </w:tcBorders>
            <w:tcW w:w="7828" w:type="dxa"/>
            <w:vAlign w:val="center"/>
            <w:textDirection w:val="lrTb"/>
            <w:noWrap w:val="false"/>
          </w:tcPr>
          <w:p>
            <w:pPr>
              <w:ind w:left="0" w:right="0" w:firstLine="0"/>
              <w:jc w:val="center"/>
              <w:keepLines w:val="0"/>
              <w:keepNext w:val="0"/>
              <w:pageBreakBefore w:val="0"/>
              <w:spacing w:after="0" w:line="240" w:lineRule="auto"/>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技术参数及要求</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right="0" w:firstLine="0"/>
              <w:jc w:val="center"/>
              <w:keepLines w:val="0"/>
              <w:keepNext w:val="0"/>
              <w:pageBreakBefore w:val="0"/>
              <w:spacing w:after="0" w:line="240" w:lineRule="auto"/>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数量</w:t>
            </w:r>
            <w:r/>
          </w:p>
        </w:tc>
      </w:tr>
      <w:tr>
        <w:trPr>
          <w:jc w:val="center"/>
          <w:trHeight w:val="0"/>
        </w:trPr>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ind w:left="0" w:right="0" w:firstLine="0"/>
              <w:jc w:val="left"/>
              <w:keepLines w:val="0"/>
              <w:keepNext w:val="0"/>
              <w:pageBreakBefore w:val="0"/>
              <w:spacing w:after="0" w:line="240"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垃圾盖</w:t>
            </w:r>
            <w:r/>
          </w:p>
        </w:tc>
        <w:tc>
          <w:tcPr>
            <w:tcBorders>
              <w:top w:val="single" w:color="auto" w:sz="4" w:space="0"/>
              <w:left w:val="single" w:color="auto" w:sz="4" w:space="0"/>
              <w:bottom w:val="single" w:color="auto" w:sz="4" w:space="0"/>
              <w:right w:val="single" w:color="auto" w:sz="4" w:space="0"/>
            </w:tcBorders>
            <w:tcW w:w="7828" w:type="dxa"/>
            <w:vAlign w:val="center"/>
            <w:textDirection w:val="lrTb"/>
            <w:noWrap w:val="false"/>
          </w:tcPr>
          <w:p>
            <w:pPr>
              <w:ind w:left="0" w:right="0" w:firstLine="0"/>
              <w:jc w:val="left"/>
              <w:keepLines w:val="0"/>
              <w:keepNext w:val="0"/>
              <w:pageBreakBefore w:val="0"/>
              <w:spacing w:after="0" w:line="240"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hint="default" w:ascii="宋体" w:hAnsi="宋体" w:eastAsia="宋体" w:cs="宋体"/>
                <w:sz w:val="21"/>
                <w:szCs w:val="21"/>
                <w:lang w:val="en-US" w:eastAsia="zh-CN"/>
              </w:rPr>
              <w:t xml:space="preserve">垃圾盖采用ABS材质，外观尺寸：356*427*95±5mm。</w:t>
            </w:r>
            <w:r/>
          </w:p>
          <w:p>
            <w:pPr>
              <w:ind w:left="0" w:right="0" w:firstLine="0"/>
              <w:jc w:val="left"/>
              <w:keepLines w:val="0"/>
              <w:keepNext w:val="0"/>
              <w:pageBreakBefore w:val="0"/>
              <w:spacing w:after="0" w:line="240"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rPr>
                <w:rFonts w:hint="default" w:ascii="宋体" w:hAnsi="宋体" w:eastAsia="宋体" w:cs="宋体"/>
                <w:sz w:val="21"/>
                <w:szCs w:val="21"/>
                <w:lang w:val="en-US" w:eastAsia="zh-CN"/>
              </w:rPr>
              <w:t xml:space="preserve">垃圾盖前端避免尖角，采用圆角设计，圆角不小于R20mm。</w:t>
            </w:r>
            <w:r/>
          </w:p>
          <w:p>
            <w:pPr>
              <w:ind w:left="0" w:right="0" w:firstLine="0"/>
              <w:jc w:val="left"/>
              <w:keepLines w:val="0"/>
              <w:keepNext w:val="0"/>
              <w:pageBreakBefore w:val="0"/>
              <w:spacing w:after="0" w:line="240"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rPr>
                <w:rFonts w:hint="default" w:ascii="宋体" w:hAnsi="宋体" w:eastAsia="宋体" w:cs="宋体"/>
                <w:sz w:val="21"/>
                <w:szCs w:val="21"/>
                <w:lang w:val="en-US" w:eastAsia="zh-CN"/>
              </w:rPr>
              <w:t xml:space="preserve">防止脚踏配件损坏，垃圾盖上需要设计应急拉手，拉手规格150*15*10±5mm。</w:t>
            </w:r>
            <w:r/>
          </w:p>
          <w:p>
            <w:pPr>
              <w:ind w:left="0" w:right="0" w:firstLine="0"/>
              <w:jc w:val="left"/>
              <w:keepLines w:val="0"/>
              <w:keepNext w:val="0"/>
              <w:pageBreakBefore w:val="0"/>
              <w:spacing w:after="0" w:line="240"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4.</w:t>
            </w:r>
            <w:r>
              <w:rPr>
                <w:rFonts w:hint="default" w:ascii="宋体" w:hAnsi="宋体" w:eastAsia="宋体" w:cs="宋体"/>
                <w:sz w:val="21"/>
                <w:szCs w:val="21"/>
                <w:lang w:val="en-US" w:eastAsia="zh-CN"/>
              </w:rPr>
              <w:t xml:space="preserve">防止垃圾丢到垃圾桶外，漏斗导流槽加高到40mm。</w:t>
            </w:r>
            <w:r/>
          </w:p>
          <w:p>
            <w:pPr>
              <w:ind w:left="0" w:right="0" w:firstLine="0"/>
              <w:jc w:val="left"/>
              <w:keepLines w:val="0"/>
              <w:keepNext w:val="0"/>
              <w:pageBreakBefore w:val="0"/>
              <w:spacing w:after="0" w:line="240"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rPr>
                <w:rFonts w:hint="default" w:ascii="宋体" w:hAnsi="宋体" w:eastAsia="宋体" w:cs="宋体"/>
                <w:sz w:val="21"/>
                <w:szCs w:val="21"/>
                <w:lang w:val="en-US" w:eastAsia="zh-CN"/>
              </w:rPr>
              <w:t xml:space="preserve">垃圾盖开启采用双连杆支撑，一根气弹簧实现垃圾盖的开启翻转。</w:t>
            </w:r>
            <w:r>
              <w:rPr>
                <w:rFonts w:hint="default" w:ascii="宋体" w:hAnsi="宋体" w:eastAsia="宋体" w:cs="宋体"/>
                <w:sz w:val="21"/>
                <w:szCs w:val="21"/>
                <w:lang w:val="en-US" w:eastAsia="zh-CN"/>
              </w:rPr>
              <mc:AlternateContent>
                <mc:Choice Requires="wpg">
                  <w:drawing>
                    <wp:inline xmlns:wp="http://schemas.openxmlformats.org/drawingml/2006/wordprocessingDrawing" distT="0" distB="0" distL="0" distR="0">
                      <wp:extent cx="3843655" cy="1891665"/>
                      <wp:effectExtent l="0" t="0" r="12065" b="13335"/>
                      <wp:docPr id="87" name="图片 87" descr="ab042f3b5dacb4f4451ffe3e57b73f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87" descr="ab042f3b5dacb4f4451ffe3e57b73ffe"/>
                              <pic:cNvPicPr>
                                <a:picLocks noChangeAspect="1"/>
                              </pic:cNvPicPr>
                              <pic:nvPr/>
                            </pic:nvPicPr>
                            <pic:blipFill>
                              <a:blip r:embed="rId91"/>
                              <a:stretch/>
                            </pic:blipFill>
                            <pic:spPr bwMode="auto">
                              <a:xfrm>
                                <a:off x="0" y="0"/>
                                <a:ext cx="3843655" cy="18916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302.6pt;height:148.9pt;mso-wrap-distance-left:0.0pt;mso-wrap-distance-top:0.0pt;mso-wrap-distance-right:0.0pt;mso-wrap-distance-bottom:0.0pt;" stroked="f">
                      <v:path textboxrect="0,0,0,0"/>
                      <v:imagedata r:id="rId91" o:title=""/>
                    </v:shape>
                  </w:pict>
                </mc:Fallback>
              </mc:AlternateConten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right="0" w:firstLine="0"/>
              <w:jc w:val="center"/>
              <w:keepLines w:val="0"/>
              <w:keepNext w:val="0"/>
              <w:pageBreakBefore w:val="0"/>
              <w:spacing w:after="0" w:line="240"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p>
        </w:tc>
      </w:tr>
      <w:tr>
        <w:trPr>
          <w:jc w:val="center"/>
          <w:trHeight w:val="0"/>
        </w:trPr>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ind w:left="0" w:right="0" w:firstLine="0"/>
              <w:jc w:val="left"/>
              <w:keepLines w:val="0"/>
              <w:keepNext w:val="0"/>
              <w:pageBreakBefore w:val="0"/>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铰链</w:t>
            </w:r>
            <w:r/>
          </w:p>
        </w:tc>
        <w:tc>
          <w:tcPr>
            <w:tcBorders>
              <w:top w:val="single" w:color="auto" w:sz="4" w:space="0"/>
              <w:left w:val="single" w:color="auto" w:sz="4" w:space="0"/>
              <w:bottom w:val="single" w:color="auto" w:sz="4" w:space="0"/>
              <w:right w:val="single" w:color="auto" w:sz="4" w:space="0"/>
            </w:tcBorders>
            <w:tcW w:w="7828" w:type="dxa"/>
            <w:vAlign w:val="center"/>
            <w:textDirection w:val="lrTb"/>
            <w:noWrap w:val="false"/>
          </w:tcPr>
          <w:p>
            <w:pPr>
              <w:ind w:left="0" w:right="0" w:firstLine="0"/>
              <w:jc w:val="left"/>
              <w:keepLines w:val="0"/>
              <w:keepNext w:val="0"/>
              <w:pageBreakBefore w:val="0"/>
              <w:spacing w:after="0" w:line="240"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见清单要求</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right="0" w:firstLine="0"/>
              <w:jc w:val="center"/>
              <w:keepLines w:val="0"/>
              <w:keepNext w:val="0"/>
              <w:pageBreakBefore w:val="0"/>
              <w:spacing w:after="0" w:line="240"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p>
        </w:tc>
      </w:tr>
      <w:tr>
        <w:trPr>
          <w:jc w:val="center"/>
          <w:trHeight w:val="0"/>
        </w:trPr>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ind w:left="0" w:right="0" w:firstLine="0"/>
              <w:jc w:val="left"/>
              <w:keepLines w:val="0"/>
              <w:keepNext w:val="0"/>
              <w:pageBreakBefore w:val="0"/>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导轨</w:t>
            </w:r>
            <w:r/>
          </w:p>
        </w:tc>
        <w:tc>
          <w:tcPr>
            <w:tcBorders>
              <w:top w:val="single" w:color="auto" w:sz="4" w:space="0"/>
              <w:left w:val="single" w:color="auto" w:sz="4" w:space="0"/>
              <w:bottom w:val="single" w:color="auto" w:sz="4" w:space="0"/>
              <w:right w:val="single" w:color="auto" w:sz="4" w:space="0"/>
            </w:tcBorders>
            <w:tcW w:w="7828" w:type="dxa"/>
            <w:vAlign w:val="center"/>
            <w:textDirection w:val="lrTb"/>
            <w:noWrap w:val="false"/>
          </w:tcPr>
          <w:p>
            <w:pPr>
              <w:ind w:left="0" w:right="0" w:firstLine="0"/>
              <w:jc w:val="left"/>
              <w:keepLines w:val="0"/>
              <w:keepNext w:val="0"/>
              <w:pageBreakBefore w:val="0"/>
              <w:spacing w:after="0" w:line="240"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见清单要求</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right="0" w:firstLine="0"/>
              <w:jc w:val="center"/>
              <w:keepLines w:val="0"/>
              <w:keepNext w:val="0"/>
              <w:pageBreakBefore w:val="0"/>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p>
        </w:tc>
      </w:tr>
      <w:tr>
        <w:trPr>
          <w:jc w:val="center"/>
          <w:trHeight w:val="0"/>
        </w:trPr>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ind w:left="0" w:right="0" w:firstLine="0"/>
              <w:jc w:val="left"/>
              <w:keepLines w:val="0"/>
              <w:keepNext w:val="0"/>
              <w:pageBreakBefore w:val="0"/>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锁具</w:t>
            </w:r>
            <w:r/>
          </w:p>
        </w:tc>
        <w:tc>
          <w:tcPr>
            <w:tcBorders>
              <w:top w:val="single" w:color="auto" w:sz="4" w:space="0"/>
              <w:left w:val="single" w:color="auto" w:sz="4" w:space="0"/>
              <w:bottom w:val="single" w:color="auto" w:sz="4" w:space="0"/>
              <w:right w:val="single" w:color="auto" w:sz="4" w:space="0"/>
            </w:tcBorders>
            <w:tcW w:w="7828" w:type="dxa"/>
            <w:vAlign w:val="center"/>
            <w:textDirection w:val="lrTb"/>
            <w:noWrap w:val="false"/>
          </w:tcPr>
          <w:p>
            <w:pPr>
              <w:ind w:left="0" w:right="0" w:firstLine="0"/>
              <w:jc w:val="left"/>
              <w:keepLines w:val="0"/>
              <w:keepNext w:val="0"/>
              <w:pageBreakBefore w:val="0"/>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lang w:val="en-US" w:eastAsia="zh-CN"/>
              </w:rPr>
              <w:t xml:space="preserve">见清单要求</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right="0" w:firstLine="0"/>
              <w:jc w:val="center"/>
              <w:keepLines w:val="0"/>
              <w:keepNext w:val="0"/>
              <w:pageBreakBefore w:val="0"/>
              <w:spacing w:after="0" w:line="240"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p>
        </w:tc>
      </w:tr>
    </w:tbl>
    <w:p>
      <w:pPr>
        <w:ind w:firstLine="480"/>
        <w:keepLines w:val="0"/>
        <w:keepNext w:val="0"/>
        <w:pageBreakBefore w:val="0"/>
        <w:spacing w:line="0" w:lineRule="atLeast"/>
        <w:widowControl w:val="off"/>
        <w:rPr>
          <w:rFonts w:ascii="宋体" w:hAnsi="宋体"/>
          <w:sz w:val="24"/>
          <w:szCs w:val="24"/>
        </w:rPr>
      </w:pPr>
      <w:r>
        <w:rPr>
          <w:rFonts w:hint="eastAsia" w:ascii="宋体" w:hAnsi="宋体"/>
          <w:sz w:val="24"/>
          <w:szCs w:val="24"/>
        </w:rPr>
        <w:t xml:space="preserve">4.5供应商递交/取回样品时将进行登记，并由样品递交人/取回人签字确认。</w:t>
      </w:r>
      <w:r/>
    </w:p>
    <w:p>
      <w:pPr>
        <w:ind w:firstLine="480"/>
        <w:keepLines w:val="0"/>
        <w:keepNext w:val="0"/>
        <w:pageBreakBefore w:val="0"/>
        <w:spacing w:line="0" w:lineRule="atLeast"/>
        <w:widowControl w:val="off"/>
        <w:rPr>
          <w:rFonts w:ascii="宋体" w:hAnsi="宋体"/>
          <w:sz w:val="24"/>
          <w:szCs w:val="24"/>
        </w:rPr>
      </w:pPr>
      <w:r>
        <w:rPr>
          <w:rFonts w:hint="eastAsia" w:ascii="宋体" w:hAnsi="宋体"/>
          <w:sz w:val="24"/>
          <w:szCs w:val="24"/>
        </w:rPr>
        <w:t xml:space="preserve">4.6供应商递交/取回样品时，不得破坏或损毁其他供应商的样品，也不得对其他供应商的样品拍照、录像。</w:t>
      </w:r>
      <w:r/>
    </w:p>
    <w:p>
      <w:pPr>
        <w:ind w:firstLine="480"/>
        <w:keepLines w:val="0"/>
        <w:keepNext w:val="0"/>
        <w:pageBreakBefore w:val="0"/>
        <w:spacing w:line="0" w:lineRule="atLeast"/>
        <w:widowControl w:val="off"/>
        <w:rPr>
          <w:rFonts w:ascii="宋体" w:hAnsi="宋体"/>
          <w:color w:val="000000"/>
          <w:sz w:val="24"/>
          <w:szCs w:val="24"/>
        </w:rPr>
      </w:pPr>
      <w:r>
        <w:rPr>
          <w:rFonts w:hint="eastAsia" w:ascii="宋体" w:hAnsi="宋体"/>
          <w:sz w:val="24"/>
          <w:szCs w:val="24"/>
        </w:rPr>
        <w:t xml:space="preserve">4.7 中标（成交）供应商递交的样品由采购人负责保管、封存并作为履约验收的依据，不再退还中标（成交）供应商。未中标（成交）供应商递交的样品在采购结果公告期结束后5个工作日内，由</w:t>
      </w:r>
      <w:r>
        <w:rPr>
          <w:rFonts w:hint="eastAsia" w:ascii="宋体" w:hAnsi="宋体"/>
          <w:sz w:val="24"/>
          <w:szCs w:val="24"/>
          <w:lang w:val="en-US" w:eastAsia="zh-CN"/>
        </w:rPr>
        <w:t xml:space="preserve">采购人</w:t>
      </w:r>
      <w:r>
        <w:rPr>
          <w:rFonts w:hint="eastAsia" w:ascii="宋体" w:hAnsi="宋体"/>
          <w:sz w:val="24"/>
          <w:szCs w:val="24"/>
        </w:rPr>
        <w:t xml:space="preserve">通知未中标（成交）供应商自行取回，逾期未取回，视同供应商放弃样品所有权，由采购人、采购中心自行处置。</w:t>
      </w:r>
      <w:bookmarkStart w:id="184" w:name="_Toc120614281"/>
      <w:r/>
      <w:r/>
    </w:p>
    <w:p>
      <w:pPr>
        <w:jc w:val="center"/>
        <w:keepNext/>
        <w:rPr>
          <w:rFonts w:hint="eastAsia" w:ascii="黑体" w:eastAsia="黑体"/>
          <w:bCs/>
          <w:color w:val="000000"/>
          <w:sz w:val="44"/>
          <w:szCs w:val="28"/>
        </w:rPr>
        <w:outlineLvl w:val="0"/>
      </w:pPr>
      <w:r>
        <w:rPr>
          <w:rFonts w:hint="eastAsia" w:ascii="黑体" w:eastAsia="黑体"/>
          <w:b w:val="0"/>
          <w:bCs/>
          <w:color w:val="000000"/>
          <w:sz w:val="44"/>
          <w:szCs w:val="28"/>
        </w:rPr>
        <w:br w:type="page" w:clear="all"/>
      </w:r>
      <w:r>
        <w:rPr>
          <w:rFonts w:hint="eastAsia" w:ascii="黑体" w:eastAsia="黑体"/>
          <w:b w:val="0"/>
          <w:bCs/>
          <w:color w:val="000000"/>
          <w:sz w:val="44"/>
          <w:szCs w:val="28"/>
        </w:rPr>
        <w:t xml:space="preserve">第五章  评标方法与评标标准</w:t>
      </w:r>
      <w:r/>
    </w:p>
    <w:p>
      <w:pPr>
        <w:rPr>
          <w:rFonts w:hint="eastAsia"/>
          <w:color w:val="000000"/>
          <w:szCs w:val="21"/>
        </w:rPr>
      </w:pPr>
      <w:r>
        <w:rPr>
          <w:rFonts w:hint="eastAsia"/>
          <w:color w:val="000000"/>
          <w:szCs w:val="21"/>
        </w:rPr>
      </w:r>
      <w:r/>
    </w:p>
    <w:p>
      <w:pPr>
        <w:ind w:firstLine="480"/>
        <w:spacing w:line="0" w:lineRule="atLeast"/>
        <w:rPr>
          <w:rFonts w:ascii="宋体" w:hAnsi="宋体"/>
          <w:color w:val="000000"/>
          <w:sz w:val="24"/>
          <w:szCs w:val="24"/>
        </w:rPr>
      </w:pPr>
      <w:r>
        <w:rPr>
          <w:rFonts w:hint="eastAsia" w:ascii="宋体" w:hAnsi="宋体" w:eastAsia="宋体" w:cs="Times New Roman"/>
          <w:b w:val="0"/>
          <w:bCs/>
          <w:color w:val="000000"/>
          <w:sz w:val="24"/>
          <w:szCs w:val="24"/>
          <w:lang w:val="en-US" w:eastAsia="zh-CN"/>
        </w:rPr>
        <w:t xml:space="preserve">采用综合评分法，</w:t>
      </w:r>
      <w:r>
        <w:rPr>
          <w:rFonts w:hint="eastAsia" w:ascii="宋体" w:hAnsi="宋体" w:eastAsia="宋体" w:cs="Times New Roman"/>
          <w:b w:val="0"/>
          <w:bCs/>
          <w:color w:val="000000"/>
          <w:sz w:val="24"/>
          <w:szCs w:val="24"/>
        </w:rPr>
        <w:t xml:space="preserve">按评审后得分由高到低顺序排列。得分相同的，按投标报价由低到高顺序排列。得分且投标报价相同的并列</w:t>
      </w:r>
      <w:r>
        <w:rPr>
          <w:rFonts w:hint="eastAsia" w:ascii="宋体" w:hAnsi="宋体" w:eastAsia="宋体" w:cs="Times New Roman"/>
          <w:b w:val="0"/>
          <w:bCs/>
          <w:color w:val="000000"/>
          <w:sz w:val="24"/>
          <w:szCs w:val="24"/>
          <w:lang w:eastAsia="zh-CN"/>
        </w:rPr>
        <w:t xml:space="preserve">，</w:t>
      </w:r>
      <w:r>
        <w:rPr>
          <w:rFonts w:hint="eastAsia" w:ascii="宋体" w:hAnsi="宋体" w:eastAsia="宋体" w:cs="Times New Roman"/>
          <w:b w:val="0"/>
          <w:bCs/>
          <w:color w:val="000000"/>
          <w:sz w:val="24"/>
          <w:szCs w:val="24"/>
        </w:rPr>
        <w:t xml:space="preserve">由评标委员会通过随机抽取的方式确定中标候选人。</w:t>
      </w:r>
      <w:r/>
    </w:p>
    <w:tbl>
      <w:tblPr>
        <w:tblStyle w:val="893"/>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jc w:val="center"/>
              <w:rPr>
                <w:rFonts w:hint="eastAsia" w:ascii="宋体" w:hAnsi="宋体"/>
                <w:szCs w:val="21"/>
              </w:rPr>
            </w:pPr>
            <w:r>
              <w:rPr>
                <w:rFonts w:hint="eastAsia" w:ascii="宋体" w:hAnsi="宋体"/>
                <w:szCs w:val="21"/>
              </w:rPr>
              <w:t xml:space="preserve">采购包号</w:t>
            </w:r>
            <w:r/>
          </w:p>
        </w:tc>
        <w:tc>
          <w:tcPr>
            <w:tcW w:w="1610" w:type="dxa"/>
            <w:vAlign w:val="top"/>
            <w:textDirection w:val="lrTb"/>
            <w:noWrap w:val="false"/>
          </w:tcPr>
          <w:p>
            <w:pPr>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中标候选人数量</w:t>
            </w:r>
            <w:r/>
          </w:p>
        </w:tc>
        <w:tc>
          <w:tcPr>
            <w:tcW w:w="4325" w:type="dxa"/>
            <w:vAlign w:val="top"/>
            <w:textDirection w:val="lrTb"/>
            <w:noWrap w:val="false"/>
          </w:tcPr>
          <w:p>
            <w:pPr>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中标候选人的原则</w:t>
            </w:r>
            <w:r/>
          </w:p>
        </w:tc>
      </w:tr>
      <w:tr>
        <w:trPr/>
        <w:tc>
          <w:tcPr>
            <w:tcW w:w="1148" w:type="dxa"/>
            <w:vAlign w:val="top"/>
            <w:textDirection w:val="lrTb"/>
            <w:noWrap w:val="false"/>
          </w:tcPr>
          <w:p>
            <w:pPr>
              <w:jc w:val="center"/>
              <w:rPr>
                <w:rFonts w:ascii="宋体" w:hAnsi="宋体"/>
                <w:szCs w:val="21"/>
              </w:rPr>
            </w:pPr>
            <w:r>
              <w:rPr>
                <w:rFonts w:hint="eastAsia" w:ascii="宋体" w:hAnsi="宋体"/>
                <w:szCs w:val="21"/>
              </w:rPr>
              <w:t xml:space="preserve">1</w:t>
            </w:r>
            <w:r/>
          </w:p>
        </w:tc>
        <w:tc>
          <w:tcPr>
            <w:tcW w:w="1610" w:type="dxa"/>
            <w:vAlign w:val="top"/>
            <w:textDirection w:val="lrTb"/>
            <w:noWrap w:val="false"/>
          </w:tcPr>
          <w:p>
            <w:pPr>
              <w:jc w:val="center"/>
              <w:rPr>
                <w:rFonts w:hint="eastAsia" w:ascii="宋体" w:hAnsi="宋体" w:eastAsia="宋体"/>
                <w:szCs w:val="21"/>
                <w:lang w:eastAsia="zh-CN"/>
              </w:rPr>
            </w:pPr>
            <w:r>
              <w:rPr>
                <w:rFonts w:hint="eastAsia" w:ascii="宋体" w:hAnsi="宋体"/>
                <w:szCs w:val="21"/>
                <w:lang w:val="en-US" w:eastAsia="zh-CN"/>
              </w:rPr>
              <w:t xml:space="preserve">3</w:t>
            </w:r>
            <w:r/>
          </w:p>
        </w:tc>
        <w:tc>
          <w:tcPr>
            <w:tcW w:w="4325" w:type="dxa"/>
            <w:vAlign w:val="top"/>
            <w:textDirection w:val="lrTb"/>
            <w:noWrap w:val="false"/>
          </w:tcPr>
          <w:p>
            <w:pPr>
              <w:jc w:val="left"/>
              <w:rPr>
                <w:rFonts w:hint="eastAsia" w:ascii="宋体" w:hAnsi="宋体"/>
                <w:szCs w:val="21"/>
              </w:rPr>
            </w:pPr>
            <w:r>
              <w:rPr>
                <w:rFonts w:hint="eastAsia" w:ascii="宋体" w:hAnsi="宋体"/>
                <w:szCs w:val="21"/>
                <w:lang w:val="en-US" w:eastAsia="zh-CN"/>
              </w:rPr>
              <w:t xml:space="preserve">评委会根据招标文件中规定的评标标准对投标人进行综合评审，最终按综合评审得分由高到低的顺序推荐出3名中标候选人。</w:t>
            </w:r>
            <w:r/>
          </w:p>
        </w:tc>
      </w:tr>
    </w:tbl>
    <w:p>
      <w:pPr>
        <w:ind w:firstLine="439"/>
        <w:jc w:val="left"/>
        <w:spacing w:before="120" w:after="120" w:line="0" w:lineRule="atLeast"/>
        <w:rPr>
          <w:rFonts w:hint="eastAsia" w:ascii="宋体" w:hAnsi="宋体"/>
          <w:color w:val="000000"/>
          <w:sz w:val="24"/>
          <w:szCs w:val="24"/>
        </w:rPr>
      </w:pPr>
      <w:r>
        <w:rPr>
          <w:rFonts w:hint="eastAsia" w:ascii="宋体" w:hAnsi="宋体"/>
          <w:b/>
          <w:sz w:val="24"/>
          <w:szCs w:val="24"/>
          <w:lang w:val="en-US" w:eastAsia="zh-CN"/>
        </w:rPr>
        <w:t xml:space="preserve">一、</w:t>
      </w:r>
      <w:r>
        <w:rPr>
          <w:rFonts w:hint="eastAsia" w:ascii="宋体" w:hAnsi="宋体"/>
          <w:b/>
          <w:sz w:val="24"/>
          <w:szCs w:val="24"/>
        </w:rPr>
        <w:t xml:space="preserve">政府采购政策功能落实</w:t>
      </w:r>
      <w:r/>
    </w:p>
    <w:p>
      <w:pPr>
        <w:ind w:firstLine="560"/>
        <w:jc w:val="left"/>
        <w:spacing w:line="400" w:lineRule="exact"/>
        <w:rPr>
          <w:rFonts w:hint="eastAsia" w:ascii="方正魏碑_GBK" w:hAnsi="方正魏碑_GBK" w:eastAsia="方正魏碑_GBK" w:cs="方正魏碑_GBK"/>
          <w:color w:val="ff0000"/>
          <w:sz w:val="28"/>
          <w:szCs w:val="28"/>
        </w:rPr>
      </w:pPr>
      <w:r>
        <w:rPr>
          <w:rFonts w:hint="eastAsia" w:ascii="方正魏碑_GBK" w:hAnsi="方正魏碑_GBK" w:eastAsia="方正魏碑_GBK" w:cs="方正魏碑_GBK"/>
          <w:color w:val="ff0000"/>
          <w:sz w:val="28"/>
          <w:szCs w:val="28"/>
          <w:lang w:val="en-US" w:eastAsia="zh-CN"/>
        </w:rPr>
        <w:t xml:space="preserve">1</w:t>
      </w:r>
      <w:r>
        <w:rPr>
          <w:rFonts w:hint="eastAsia" w:ascii="方正魏碑_GBK" w:hAnsi="方正魏碑_GBK" w:eastAsia="方正魏碑_GBK" w:cs="方正魏碑_GBK"/>
          <w:color w:val="ff0000"/>
          <w:sz w:val="28"/>
          <w:szCs w:val="28"/>
        </w:rPr>
        <w:t xml:space="preserve">、采购本国产品的支持政策</w:t>
      </w:r>
      <w:r/>
    </w:p>
    <w:p>
      <w:pPr>
        <w:ind w:firstLine="560"/>
        <w:jc w:val="left"/>
        <w:spacing w:line="400" w:lineRule="exact"/>
        <w:rPr>
          <w:rFonts w:hint="eastAsia" w:ascii="方正魏碑_GBK" w:hAnsi="方正魏碑_GBK" w:eastAsia="方正魏碑_GBK" w:cs="方正魏碑_GBK"/>
          <w:color w:val="ff0000"/>
          <w:sz w:val="28"/>
          <w:szCs w:val="28"/>
        </w:rPr>
      </w:pPr>
      <w:r>
        <w:rPr>
          <w:rFonts w:hint="eastAsia" w:ascii="方正魏碑_GBK" w:hAnsi="方正魏碑_GBK" w:eastAsia="方正魏碑_GBK" w:cs="方正魏碑_GBK"/>
          <w:color w:val="ff0000"/>
          <w:sz w:val="28"/>
          <w:szCs w:val="28"/>
          <w:lang w:val="en-US" w:eastAsia="zh-CN"/>
        </w:rPr>
        <w:t xml:space="preserve">1</w:t>
      </w:r>
      <w:r>
        <w:rPr>
          <w:rFonts w:hint="eastAsia" w:ascii="方正魏碑_GBK" w:hAnsi="方正魏碑_GBK" w:eastAsia="方正魏碑_GBK" w:cs="方正魏碑_GBK"/>
          <w:color w:val="ff0000"/>
          <w:sz w:val="28"/>
          <w:szCs w:val="28"/>
        </w:rPr>
        <w:t xml:space="preserve">.1 本项目政府采购活动中既有本国产品又有非本国产品参与竞争的，依法对本国产品给予价格评审优惠，对本国产品的报价给予  </w:t>
      </w:r>
      <w:r>
        <w:rPr>
          <w:rFonts w:hint="eastAsia" w:ascii="方正魏碑_GBK" w:hAnsi="方正魏碑_GBK" w:eastAsia="方正魏碑_GBK" w:cs="方正魏碑_GBK"/>
          <w:color w:val="ff0000"/>
          <w:sz w:val="28"/>
          <w:szCs w:val="28"/>
          <w:u w:val="single"/>
        </w:rPr>
        <w:t xml:space="preserve">20%</w:t>
      </w:r>
      <w:r>
        <w:rPr>
          <w:rFonts w:hint="eastAsia" w:ascii="方正魏碑_GBK" w:hAnsi="方正魏碑_GBK" w:eastAsia="方正魏碑_GBK" w:cs="方正魏碑_GBK"/>
          <w:color w:val="ff0000"/>
          <w:sz w:val="28"/>
          <w:szCs w:val="28"/>
        </w:rPr>
        <w:t xml:space="preserve">的价格扣除，用扣除后的价格参与评审。</w:t>
      </w:r>
      <w:r/>
    </w:p>
    <w:p>
      <w:pPr>
        <w:ind w:firstLine="560"/>
        <w:jc w:val="left"/>
        <w:spacing w:line="400" w:lineRule="exact"/>
        <w:rPr>
          <w:rFonts w:ascii="方正魏碑_GBK" w:hAnsi="方正魏碑_GBK" w:eastAsia="方正魏碑_GBK" w:cs="方正魏碑_GBK"/>
          <w:color w:val="ff0000"/>
          <w:sz w:val="28"/>
          <w:szCs w:val="28"/>
        </w:rPr>
      </w:pPr>
      <w:r>
        <w:rPr>
          <w:rFonts w:hint="eastAsia" w:ascii="方正魏碑_GBK" w:hAnsi="方正魏碑_GBK" w:eastAsia="方正魏碑_GBK" w:cs="方正魏碑_GBK"/>
          <w:color w:val="ff0000"/>
          <w:sz w:val="28"/>
          <w:szCs w:val="28"/>
          <w:lang w:val="en-US" w:eastAsia="zh-CN"/>
        </w:rPr>
        <w:t xml:space="preserve">1</w:t>
      </w:r>
      <w:r>
        <w:rPr>
          <w:rFonts w:hint="eastAsia" w:ascii="方正魏碑_GBK" w:hAnsi="方正魏碑_GBK" w:eastAsia="方正魏碑_GBK" w:cs="方正魏碑_GBK"/>
          <w:color w:val="ff0000"/>
          <w:sz w:val="28"/>
          <w:szCs w:val="28"/>
        </w:rPr>
        <w:t xml:space="preserve">.2 当采购项目或者采购包中含有多种产品，供应商为该采购项目或者采购包提供的符合本国产品标准的产品成本之和占该供应商提供的全部产品成本之和的比例达到</w:t>
      </w:r>
      <w:r>
        <w:rPr>
          <w:rFonts w:hint="eastAsia" w:ascii="方正魏碑_GBK" w:hAnsi="方正魏碑_GBK" w:eastAsia="方正魏碑_GBK" w:cs="方正魏碑_GBK"/>
          <w:color w:val="ff0000"/>
          <w:sz w:val="28"/>
          <w:szCs w:val="28"/>
          <w:u w:val="single"/>
        </w:rPr>
        <w:t xml:space="preserve">80%</w:t>
      </w:r>
      <w:r>
        <w:rPr>
          <w:rFonts w:hint="eastAsia" w:ascii="方正魏碑_GBK" w:hAnsi="方正魏碑_GBK" w:eastAsia="方正魏碑_GBK" w:cs="方正魏碑_GBK"/>
          <w:color w:val="ff0000"/>
          <w:sz w:val="28"/>
          <w:szCs w:val="28"/>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方正魏碑_GBK" w:hAnsi="方正魏碑_GBK" w:eastAsia="方正魏碑_GBK" w:cs="方正魏碑_GBK"/>
          <w:color w:val="ff0000"/>
          <w:sz w:val="28"/>
          <w:szCs w:val="28"/>
          <w:u w:val="single"/>
        </w:rPr>
        <w:t xml:space="preserve">20%</w:t>
      </w:r>
      <w:r>
        <w:rPr>
          <w:rFonts w:hint="eastAsia" w:ascii="方正魏碑_GBK" w:hAnsi="方正魏碑_GBK" w:eastAsia="方正魏碑_GBK" w:cs="方正魏碑_GBK"/>
          <w:color w:val="ff0000"/>
          <w:sz w:val="28"/>
          <w:szCs w:val="28"/>
        </w:rPr>
        <w:t xml:space="preserve">的价格扣除，用扣除后的价格参与评审。供应商未填写比例数值，或比例数值</w:t>
      </w:r>
      <w:r>
        <w:rPr>
          <w:rFonts w:hint="eastAsia" w:ascii="方正魏碑_GBK" w:hAnsi="方正魏碑_GBK" w:eastAsia="方正魏碑_GBK" w:cs="方正魏碑_GBK"/>
          <w:color w:val="ff0000"/>
          <w:sz w:val="28"/>
          <w:szCs w:val="28"/>
          <w:highlight w:val="yellow"/>
        </w:rPr>
        <w:t xml:space="preserve">未达到</w:t>
      </w:r>
      <w:r>
        <w:rPr>
          <w:rFonts w:hint="eastAsia" w:ascii="方正魏碑_GBK" w:hAnsi="方正魏碑_GBK" w:eastAsia="方正魏碑_GBK" w:cs="方正魏碑_GBK"/>
          <w:color w:val="ff0000"/>
          <w:sz w:val="28"/>
          <w:szCs w:val="28"/>
        </w:rPr>
        <w:t xml:space="preserve">80%的，将不享受本国产品价格评审优惠。</w:t>
      </w:r>
      <w:r/>
    </w:p>
    <w:p>
      <w:pPr>
        <w:ind w:firstLine="560"/>
        <w:jc w:val="left"/>
        <w:spacing w:line="400" w:lineRule="exact"/>
        <w:rPr>
          <w:rFonts w:hint="eastAsia" w:ascii="方正魏碑_GBK" w:hAnsi="方正魏碑_GBK" w:eastAsia="方正魏碑_GBK" w:cs="方正魏碑_GBK"/>
          <w:color w:val="ff0000"/>
          <w:sz w:val="28"/>
          <w:szCs w:val="28"/>
        </w:rPr>
      </w:pPr>
      <w:r>
        <w:rPr>
          <w:rFonts w:hint="eastAsia" w:ascii="方正魏碑_GBK" w:hAnsi="方正魏碑_GBK" w:eastAsia="方正魏碑_GBK" w:cs="方正魏碑_GBK"/>
          <w:color w:val="ff0000"/>
          <w:sz w:val="28"/>
          <w:szCs w:val="28"/>
          <w:lang w:val="en-US" w:eastAsia="zh-CN"/>
        </w:rPr>
        <w:t xml:space="preserve">1</w:t>
      </w:r>
      <w:r>
        <w:rPr>
          <w:rFonts w:hint="eastAsia" w:ascii="方正魏碑_GBK" w:hAnsi="方正魏碑_GBK" w:eastAsia="方正魏碑_GBK" w:cs="方正魏碑_GBK"/>
          <w:color w:val="ff0000"/>
          <w:sz w:val="28"/>
          <w:szCs w:val="28"/>
        </w:rPr>
        <w:t xml:space="preserve">.3 供应商需按照招标文件的要求提供《关于符合本国产品标准的声明函》（以下简称《声明函》），如不提供将不享受本国产品价格评审优惠。</w:t>
      </w:r>
      <w:r/>
    </w:p>
    <w:p>
      <w:pPr>
        <w:ind w:firstLine="560"/>
        <w:jc w:val="left"/>
        <w:spacing w:line="400" w:lineRule="exact"/>
        <w:rPr>
          <w:rFonts w:hint="eastAsia" w:ascii="方正魏碑_GBK" w:hAnsi="方正魏碑_GBK" w:eastAsia="方正魏碑_GBK" w:cs="方正魏碑_GBK"/>
          <w:color w:val="ff0000"/>
          <w:sz w:val="28"/>
          <w:szCs w:val="28"/>
        </w:rPr>
      </w:pPr>
      <w:r>
        <w:rPr>
          <w:rFonts w:hint="eastAsia" w:ascii="方正魏碑_GBK" w:hAnsi="方正魏碑_GBK" w:eastAsia="方正魏碑_GBK" w:cs="方正魏碑_GBK"/>
          <w:color w:val="ff0000"/>
          <w:sz w:val="28"/>
          <w:szCs w:val="28"/>
          <w:lang w:val="en-US" w:eastAsia="zh-CN"/>
        </w:rPr>
        <w:t xml:space="preserve">1</w:t>
      </w:r>
      <w:r>
        <w:rPr>
          <w:rFonts w:hint="eastAsia" w:ascii="方正魏碑_GBK" w:hAnsi="方正魏碑_GBK" w:eastAsia="方正魏碑_GBK" w:cs="方正魏碑_GBK"/>
          <w:color w:val="ff0000"/>
          <w:sz w:val="28"/>
          <w:szCs w:val="28"/>
        </w:rPr>
        <w:t xml:space="preserve">.4 供应商需在《声明函》中逐一、</w:t>
      </w:r>
      <w:r>
        <w:rPr>
          <w:rFonts w:ascii="方正魏碑_GBK" w:hAnsi="方正魏碑_GBK" w:eastAsia="方正魏碑_GBK" w:cs="方正魏碑_GBK"/>
          <w:color w:val="ff0000"/>
          <w:sz w:val="28"/>
          <w:szCs w:val="28"/>
        </w:rPr>
        <w:t xml:space="preserve">准确</w:t>
      </w:r>
      <w:r>
        <w:rPr>
          <w:rFonts w:hint="eastAsia" w:ascii="方正魏碑_GBK" w:hAnsi="方正魏碑_GBK" w:eastAsia="方正魏碑_GBK" w:cs="方正魏碑_GBK"/>
          <w:color w:val="ff0000"/>
          <w:sz w:val="28"/>
          <w:szCs w:val="28"/>
        </w:rPr>
        <w:t xml:space="preserve">填写产品名称、厂名、生产厂址三项信息（</w:t>
      </w:r>
      <w:r>
        <w:rPr>
          <w:rFonts w:hint="eastAsia" w:ascii="方正魏碑_GBK" w:hAnsi="方正魏碑_GBK" w:eastAsia="方正魏碑_GBK" w:cs="方正魏碑_GBK"/>
          <w:color w:val="ff0000"/>
          <w:sz w:val="28"/>
          <w:szCs w:val="28"/>
          <w:highlight w:val="yellow"/>
        </w:rPr>
        <w:t xml:space="preserve">《声明函》中用斜线划除的地方无需填写</w:t>
      </w:r>
      <w:r>
        <w:rPr>
          <w:rFonts w:hint="eastAsia" w:ascii="方正魏碑_GBK" w:hAnsi="方正魏碑_GBK" w:eastAsia="方正魏碑_GBK" w:cs="方正魏碑_GBK"/>
          <w:color w:val="ff0000"/>
          <w:sz w:val="28"/>
          <w:szCs w:val="28"/>
        </w:rPr>
        <w:t xml:space="preserve">），三</w:t>
      </w:r>
      <w:r>
        <w:rPr>
          <w:rFonts w:ascii="方正魏碑_GBK" w:hAnsi="方正魏碑_GBK" w:eastAsia="方正魏碑_GBK" w:cs="方正魏碑_GBK"/>
          <w:color w:val="ff0000"/>
          <w:sz w:val="28"/>
          <w:szCs w:val="28"/>
        </w:rPr>
        <w:t xml:space="preserve">项信息中</w:t>
      </w:r>
      <w:r>
        <w:rPr>
          <w:rFonts w:hint="eastAsia" w:ascii="方正魏碑_GBK" w:hAnsi="方正魏碑_GBK" w:eastAsia="方正魏碑_GBK" w:cs="方正魏碑_GBK"/>
          <w:color w:val="ff0000"/>
          <w:sz w:val="28"/>
          <w:szCs w:val="28"/>
        </w:rPr>
        <w:t xml:space="preserve">任意一项未填写的视为该项产品不符合本国产品标准，不享受本国产品价格评审优惠。</w:t>
      </w:r>
      <w:r/>
    </w:p>
    <w:p>
      <w:pPr>
        <w:ind w:firstLine="560"/>
        <w:jc w:val="left"/>
        <w:spacing w:line="400" w:lineRule="exact"/>
        <w:rPr>
          <w:rFonts w:hint="eastAsia" w:ascii="方正魏碑_GBK" w:hAnsi="方正魏碑_GBK" w:eastAsia="方正魏碑_GBK" w:cs="方正魏碑_GBK"/>
          <w:color w:val="ff0000"/>
          <w:sz w:val="28"/>
          <w:szCs w:val="28"/>
        </w:rPr>
      </w:pPr>
      <w:r>
        <w:rPr>
          <w:rFonts w:hint="eastAsia" w:ascii="方正魏碑_GBK" w:hAnsi="方正魏碑_GBK" w:eastAsia="方正魏碑_GBK" w:cs="方正魏碑_GBK"/>
          <w:color w:val="ff0000"/>
          <w:sz w:val="28"/>
          <w:szCs w:val="28"/>
          <w:lang w:val="en-US" w:eastAsia="zh-CN"/>
        </w:rPr>
        <w:t xml:space="preserve">1</w:t>
      </w:r>
      <w:r>
        <w:rPr>
          <w:rFonts w:hint="eastAsia" w:ascii="方正魏碑_GBK" w:hAnsi="方正魏碑_GBK" w:eastAsia="方正魏碑_GBK" w:cs="方正魏碑_GBK"/>
          <w:color w:val="ff0000"/>
          <w:sz w:val="28"/>
          <w:szCs w:val="28"/>
        </w:rPr>
        <w:t xml:space="preserve">.5 评标过程中，如发现供应商在《声明函》内容</w:t>
      </w:r>
      <w:r>
        <w:rPr>
          <w:rFonts w:ascii="方正魏碑_GBK" w:hAnsi="方正魏碑_GBK" w:eastAsia="方正魏碑_GBK" w:cs="方正魏碑_GBK"/>
          <w:color w:val="ff0000"/>
          <w:sz w:val="28"/>
          <w:szCs w:val="28"/>
        </w:rPr>
        <w:t xml:space="preserve">含义不明确、同类事项与投</w:t>
      </w:r>
      <w:r>
        <w:rPr>
          <w:rFonts w:hint="eastAsia" w:ascii="方正魏碑_GBK" w:hAnsi="方正魏碑_GBK" w:eastAsia="方正魏碑_GBK" w:cs="方正魏碑_GBK"/>
          <w:color w:val="ff0000"/>
          <w:sz w:val="28"/>
          <w:szCs w:val="28"/>
        </w:rPr>
        <w:t xml:space="preserve">标</w:t>
      </w:r>
      <w:r>
        <w:rPr>
          <w:rFonts w:ascii="方正魏碑_GBK" w:hAnsi="方正魏碑_GBK" w:eastAsia="方正魏碑_GBK" w:cs="方正魏碑_GBK"/>
          <w:color w:val="ff0000"/>
          <w:sz w:val="28"/>
          <w:szCs w:val="28"/>
        </w:rPr>
        <w:t xml:space="preserve">（</w:t>
      </w:r>
      <w:r>
        <w:rPr>
          <w:rFonts w:hint="eastAsia" w:ascii="方正魏碑_GBK" w:hAnsi="方正魏碑_GBK" w:eastAsia="方正魏碑_GBK" w:cs="方正魏碑_GBK"/>
          <w:color w:val="ff0000"/>
          <w:sz w:val="28"/>
          <w:szCs w:val="28"/>
        </w:rPr>
        <w:t xml:space="preserve">响应</w:t>
      </w:r>
      <w:r>
        <w:rPr>
          <w:rFonts w:ascii="方正魏碑_GBK" w:hAnsi="方正魏碑_GBK" w:eastAsia="方正魏碑_GBK" w:cs="方正魏碑_GBK"/>
          <w:color w:val="ff0000"/>
          <w:sz w:val="28"/>
          <w:szCs w:val="28"/>
        </w:rPr>
        <w:t xml:space="preserve">）</w:t>
      </w:r>
      <w:r>
        <w:rPr>
          <w:rFonts w:hint="eastAsia" w:ascii="方正魏碑_GBK" w:hAnsi="方正魏碑_GBK" w:eastAsia="方正魏碑_GBK" w:cs="方正魏碑_GBK"/>
          <w:color w:val="ff0000"/>
          <w:sz w:val="28"/>
          <w:szCs w:val="28"/>
        </w:rPr>
        <w:t xml:space="preserve">文件</w:t>
      </w:r>
      <w:r>
        <w:rPr>
          <w:rFonts w:ascii="方正魏碑_GBK" w:hAnsi="方正魏碑_GBK" w:eastAsia="方正魏碑_GBK" w:cs="方正魏碑_GBK"/>
          <w:color w:val="ff0000"/>
          <w:sz w:val="28"/>
          <w:szCs w:val="28"/>
        </w:rPr>
        <w:t xml:space="preserve">表述不一致或者有</w:t>
      </w:r>
      <w:r>
        <w:rPr>
          <w:rFonts w:hint="eastAsia" w:ascii="方正魏碑_GBK" w:hAnsi="方正魏碑_GBK" w:eastAsia="方正魏碑_GBK" w:cs="方正魏碑_GBK"/>
          <w:color w:val="ff0000"/>
          <w:sz w:val="28"/>
          <w:szCs w:val="28"/>
        </w:rPr>
        <w:t xml:space="preserve">明显</w:t>
      </w:r>
      <w:r>
        <w:rPr>
          <w:rFonts w:ascii="方正魏碑_GBK" w:hAnsi="方正魏碑_GBK" w:eastAsia="方正魏碑_GBK" w:cs="方正魏碑_GBK"/>
          <w:color w:val="ff0000"/>
          <w:sz w:val="28"/>
          <w:szCs w:val="28"/>
        </w:rPr>
        <w:t xml:space="preserve">文字错误等情况的</w:t>
      </w:r>
      <w:r>
        <w:rPr>
          <w:rFonts w:hint="eastAsia" w:ascii="方正魏碑_GBK" w:hAnsi="方正魏碑_GBK" w:eastAsia="方正魏碑_GBK" w:cs="方正魏碑_GBK"/>
          <w:color w:val="ff0000"/>
          <w:sz w:val="28"/>
          <w:szCs w:val="28"/>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before="120" w:after="120" w:line="0" w:lineRule="atLeast"/>
        <w:rPr>
          <w:rFonts w:hint="eastAsia" w:ascii="宋体" w:hAnsi="宋体"/>
          <w:b/>
          <w:color w:val="000000"/>
          <w:sz w:val="24"/>
          <w:szCs w:val="24"/>
          <w:highlight w:val="yellow"/>
        </w:rPr>
      </w:pPr>
      <w:r>
        <w:rPr>
          <w:rFonts w:hint="eastAsia" w:ascii="宋体" w:hAnsi="宋体"/>
          <w:b/>
          <w:color w:val="000000"/>
          <w:sz w:val="24"/>
          <w:szCs w:val="24"/>
          <w:lang w:val="en-US" w:eastAsia="zh-CN"/>
        </w:rPr>
        <w:t xml:space="preserve">二、</w:t>
      </w:r>
      <w:r>
        <w:rPr>
          <w:rFonts w:hint="eastAsia" w:ascii="宋体" w:hAnsi="宋体"/>
          <w:b/>
          <w:color w:val="000000"/>
          <w:sz w:val="24"/>
          <w:szCs w:val="24"/>
        </w:rPr>
        <w:t xml:space="preserve">评标方法与评标标准</w:t>
      </w:r>
      <w:r/>
    </w:p>
    <w:p>
      <w:pPr>
        <w:ind w:firstLine="480"/>
        <w:jc w:val="left"/>
        <w:spacing w:before="120" w:after="120" w:line="0" w:lineRule="atLeast"/>
        <w:rPr>
          <w:rFonts w:hint="eastAsia" w:ascii="宋体" w:hAnsi="宋体" w:eastAsia="宋体" w:cs="Times New Roman"/>
          <w:b w:val="0"/>
          <w:bCs/>
          <w:color w:val="000000"/>
          <w:sz w:val="24"/>
          <w:szCs w:val="24"/>
        </w:rPr>
      </w:pPr>
      <w:r>
        <w:rPr>
          <w:rFonts w:hint="eastAsia" w:ascii="宋体" w:hAnsi="宋体" w:eastAsia="宋体" w:cs="Times New Roman"/>
          <w:b w:val="0"/>
          <w:bCs/>
          <w:color w:val="000000"/>
          <w:sz w:val="24"/>
          <w:szCs w:val="24"/>
        </w:rPr>
        <w:t xml:space="preserve">评委会将依据下列评标标准进行评标，本评标标准的总分为100分。按评审后得分由高到低顺序排列。得分相同的，按投标报价由低到高顺序排列。得分且投标报价相同的并列</w:t>
      </w:r>
      <w:r>
        <w:rPr>
          <w:rFonts w:hint="eastAsia" w:ascii="宋体" w:hAnsi="宋体" w:eastAsia="宋体" w:cs="Times New Roman"/>
          <w:b w:val="0"/>
          <w:bCs/>
          <w:color w:val="000000"/>
          <w:sz w:val="24"/>
          <w:szCs w:val="24"/>
          <w:lang w:eastAsia="zh-CN"/>
        </w:rPr>
        <w:t xml:space="preserve">，</w:t>
      </w:r>
      <w:r>
        <w:rPr>
          <w:rFonts w:hint="eastAsia" w:ascii="宋体" w:hAnsi="宋体" w:eastAsia="宋体" w:cs="Times New Roman"/>
          <w:b w:val="0"/>
          <w:bCs/>
          <w:color w:val="000000"/>
          <w:sz w:val="24"/>
          <w:szCs w:val="24"/>
        </w:rPr>
        <w:t xml:space="preserve">由评标委员会通过随机抽取的方式确定中标候选人。</w:t>
      </w:r>
      <w:r/>
    </w:p>
    <w:tbl>
      <w:tblPr>
        <w:tblStyle w:val="89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5"/>
        <w:gridCol w:w="1529"/>
        <w:gridCol w:w="7006"/>
        <w:gridCol w:w="722"/>
      </w:tblGrid>
      <w:tr>
        <w:trPr>
          <w:jc w:val="center"/>
          <w:trHeight w:val="578"/>
        </w:trPr>
        <w:tc>
          <w:tcPr>
            <w:tcW w:w="354" w:type="pct"/>
            <w:vAlign w:val="center"/>
            <w:textDirection w:val="lrTb"/>
            <w:noWrap w:val="false"/>
          </w:tcPr>
          <w:p>
            <w:pPr>
              <w:pStyle w:val="894"/>
              <w:ind w:firstLine="0"/>
              <w:jc w:val="center"/>
              <w:spacing w:line="360" w:lineRule="exact"/>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767" w:type="pct"/>
            <w:vAlign w:val="center"/>
            <w:textDirection w:val="lrTb"/>
            <w:noWrap w:val="false"/>
          </w:tcPr>
          <w:p>
            <w:pPr>
              <w:pStyle w:val="894"/>
              <w:ind w:left="0" w:firstLine="0"/>
              <w:jc w:val="center"/>
              <w:spacing w:line="360" w:lineRule="exact"/>
              <w:rPr>
                <w:rFonts w:hint="eastAsia" w:ascii="宋体" w:hAnsi="宋体" w:eastAsia="宋体" w:cs="宋体"/>
                <w:b/>
                <w:bCs/>
                <w:sz w:val="24"/>
                <w:szCs w:val="24"/>
              </w:rPr>
            </w:pPr>
            <w:r>
              <w:rPr>
                <w:rFonts w:hint="eastAsia" w:ascii="宋体" w:hAnsi="宋体" w:eastAsia="宋体" w:cs="宋体"/>
                <w:b/>
                <w:bCs/>
                <w:sz w:val="24"/>
                <w:szCs w:val="24"/>
              </w:rPr>
              <w:t xml:space="preserve">评分项</w:t>
            </w:r>
            <w:r/>
          </w:p>
        </w:tc>
        <w:tc>
          <w:tcPr>
            <w:tcW w:w="3515" w:type="pct"/>
            <w:vAlign w:val="center"/>
            <w:textDirection w:val="lrTb"/>
            <w:noWrap w:val="false"/>
          </w:tcPr>
          <w:p>
            <w:pPr>
              <w:pStyle w:val="894"/>
              <w:ind w:firstLine="422"/>
              <w:jc w:val="center"/>
              <w:spacing w:line="360" w:lineRule="exact"/>
              <w:rPr>
                <w:rFonts w:hint="eastAsia" w:ascii="宋体" w:hAnsi="宋体" w:eastAsia="宋体" w:cs="宋体"/>
                <w:b/>
                <w:bCs/>
                <w:sz w:val="24"/>
                <w:szCs w:val="24"/>
              </w:rPr>
            </w:pPr>
            <w:r>
              <w:rPr>
                <w:rFonts w:hint="eastAsia" w:ascii="宋体" w:hAnsi="宋体" w:eastAsia="宋体" w:cs="宋体"/>
                <w:b/>
                <w:bCs/>
                <w:sz w:val="24"/>
                <w:szCs w:val="24"/>
              </w:rPr>
              <w:t xml:space="preserve">评分标准</w:t>
            </w:r>
            <w:r/>
          </w:p>
        </w:tc>
        <w:tc>
          <w:tcPr>
            <w:tcW w:w="362" w:type="pct"/>
            <w:vAlign w:val="center"/>
            <w:textDirection w:val="lrTb"/>
            <w:noWrap w:val="false"/>
          </w:tcPr>
          <w:p>
            <w:pPr>
              <w:pStyle w:val="894"/>
              <w:ind w:firstLine="0"/>
              <w:jc w:val="center"/>
              <w:spacing w:line="360" w:lineRule="exact"/>
              <w:rPr>
                <w:rFonts w:hint="eastAsia" w:ascii="宋体" w:hAnsi="宋体" w:eastAsia="宋体" w:cs="宋体"/>
                <w:b/>
                <w:bCs/>
                <w:sz w:val="24"/>
                <w:szCs w:val="24"/>
              </w:rPr>
            </w:pPr>
            <w:r>
              <w:rPr>
                <w:rFonts w:hint="eastAsia" w:ascii="宋体" w:hAnsi="宋体" w:eastAsia="宋体" w:cs="宋体"/>
                <w:b/>
                <w:bCs/>
                <w:sz w:val="24"/>
                <w:szCs w:val="24"/>
              </w:rPr>
              <w:t xml:space="preserve">分值</w:t>
            </w:r>
            <w:r/>
          </w:p>
        </w:tc>
      </w:tr>
      <w:tr>
        <w:trPr>
          <w:jc w:val="center"/>
          <w:trHeight w:val="1325"/>
        </w:trPr>
        <w:tc>
          <w:tcPr>
            <w:tcW w:w="354" w:type="pct"/>
            <w:vAlign w:val="center"/>
            <w:textDirection w:val="lrTb"/>
            <w:noWrap w:val="false"/>
          </w:tcPr>
          <w:p>
            <w:pPr>
              <w:pStyle w:val="894"/>
              <w:ind w:firstLine="0"/>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767" w:type="pct"/>
            <w:vAlign w:val="center"/>
            <w:textDirection w:val="lrTb"/>
            <w:noWrap w:val="false"/>
          </w:tcPr>
          <w:p>
            <w:pPr>
              <w:pStyle w:val="894"/>
              <w:ind w:left="0" w:firstLine="0"/>
              <w:jc w:val="center"/>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投标</w:t>
            </w:r>
            <w:r>
              <w:rPr>
                <w:rFonts w:hint="eastAsia" w:ascii="宋体" w:hAnsi="宋体" w:eastAsia="宋体" w:cs="宋体"/>
                <w:color w:val="000000"/>
                <w:sz w:val="24"/>
                <w:szCs w:val="24"/>
                <w:lang w:val="en-US" w:eastAsia="zh-CN"/>
              </w:rPr>
              <w:t xml:space="preserve">报价</w:t>
            </w:r>
            <w:r/>
          </w:p>
          <w:p>
            <w:pPr>
              <w:pStyle w:val="894"/>
              <w:ind w:left="0" w:firstLine="0"/>
              <w:jc w:val="center"/>
              <w:spacing w:line="360" w:lineRule="exact"/>
              <w:rPr>
                <w:rFonts w:hint="eastAsia" w:ascii="宋体" w:hAnsi="宋体" w:eastAsia="宋体" w:cs="宋体"/>
                <w:color w:val="000000"/>
                <w:sz w:val="24"/>
                <w:szCs w:val="24"/>
                <w:highlight w:val="red"/>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30</w:t>
            </w:r>
            <w:r>
              <w:rPr>
                <w:rFonts w:hint="eastAsia" w:ascii="宋体" w:hAnsi="宋体" w:eastAsia="宋体" w:cs="宋体"/>
                <w:color w:val="000000"/>
                <w:sz w:val="24"/>
                <w:szCs w:val="24"/>
              </w:rPr>
              <w:t xml:space="preserve">分）</w:t>
            </w:r>
            <w:r/>
          </w:p>
        </w:tc>
        <w:tc>
          <w:tcPr>
            <w:tcW w:w="3515" w:type="pct"/>
            <w:vAlign w:val="center"/>
            <w:textDirection w:val="lrTb"/>
            <w:noWrap w:val="false"/>
          </w:tcPr>
          <w:p>
            <w:pPr>
              <w:spacing w:line="360" w:lineRule="exact"/>
              <w:rPr>
                <w:rFonts w:hint="eastAsia" w:ascii="宋体" w:hAnsi="宋体" w:eastAsia="宋体" w:cs="宋体"/>
                <w:color w:val="000000"/>
                <w:sz w:val="24"/>
                <w:szCs w:val="24"/>
                <w:highlight w:val="red"/>
                <w:lang w:eastAsia="zh-CN"/>
              </w:rPr>
            </w:pPr>
            <w:r>
              <w:rPr>
                <w:rFonts w:hint="eastAsia" w:ascii="宋体" w:hAnsi="宋体" w:eastAsia="宋体" w:cs="宋体"/>
                <w:sz w:val="24"/>
                <w:szCs w:val="24"/>
              </w:rPr>
              <w:t xml:space="preserve">满足招标文件要求且投标价格最低为评标基准价，其价格分为满分。其他投标人的价格分按照下列公式计算（小数点保留两位）：投标报价得分＝（评标基准价/投标报价）×</w:t>
            </w:r>
            <w:r>
              <w:rPr>
                <w:rFonts w:hint="eastAsia" w:ascii="宋体" w:hAnsi="宋体" w:eastAsia="宋体" w:cs="宋体"/>
                <w:sz w:val="24"/>
                <w:szCs w:val="24"/>
                <w:lang w:eastAsia="zh-CN"/>
              </w:rPr>
              <w:t xml:space="preserve">30</w:t>
            </w:r>
            <w:r>
              <w:rPr>
                <w:rFonts w:hint="eastAsia" w:ascii="宋体" w:hAnsi="宋体" w:eastAsia="宋体" w:cs="宋体"/>
                <w:sz w:val="24"/>
                <w:szCs w:val="24"/>
              </w:rPr>
              <w:t xml:space="preserve">分。</w:t>
            </w:r>
            <w:r/>
          </w:p>
        </w:tc>
        <w:tc>
          <w:tcPr>
            <w:tcW w:w="362" w:type="pct"/>
            <w:vAlign w:val="center"/>
            <w:textDirection w:val="lrTb"/>
            <w:noWrap w:val="false"/>
          </w:tcPr>
          <w:p>
            <w:pPr>
              <w:pStyle w:val="894"/>
              <w:ind w:firstLine="0"/>
              <w:jc w:val="center"/>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30</w:t>
            </w:r>
            <w:r/>
          </w:p>
        </w:tc>
      </w:tr>
      <w:tr>
        <w:trPr>
          <w:jc w:val="center"/>
          <w:trHeight w:val="1325"/>
        </w:trPr>
        <w:tc>
          <w:tcPr>
            <w:tcW w:w="354" w:type="pct"/>
            <w:vAlign w:val="center"/>
            <w:textDirection w:val="lrTb"/>
            <w:noWrap w:val="false"/>
          </w:tcPr>
          <w:p>
            <w:pPr>
              <w:pStyle w:val="894"/>
              <w:ind w:firstLine="0"/>
              <w:jc w:val="center"/>
              <w:spacing w:line="36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p>
        </w:tc>
        <w:tc>
          <w:tcPr>
            <w:tcW w:w="767" w:type="pct"/>
            <w:vAlign w:val="center"/>
            <w:textDirection w:val="lrTb"/>
            <w:noWrap w:val="false"/>
          </w:tcPr>
          <w:p>
            <w:pPr>
              <w:pStyle w:val="894"/>
              <w:ind w:left="0" w:firstLine="0"/>
              <w:jc w:val="center"/>
              <w:spacing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节能环保</w:t>
            </w:r>
            <w:r/>
          </w:p>
          <w:p>
            <w:pPr>
              <w:pStyle w:val="894"/>
              <w:ind w:left="0" w:firstLine="0"/>
              <w:jc w:val="center"/>
              <w:spacing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（2分）</w:t>
            </w:r>
            <w:r/>
          </w:p>
        </w:tc>
        <w:tc>
          <w:tcPr>
            <w:tcW w:w="3515" w:type="pct"/>
            <w:vAlign w:val="center"/>
            <w:textDirection w:val="lrTb"/>
            <w:noWrap w:val="false"/>
          </w:tcPr>
          <w:p>
            <w:pPr>
              <w:spacing w:line="36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lang w:val="en-US" w:eastAsia="zh-CN"/>
              </w:rPr>
              <w:t xml:space="preserve">.</w:t>
            </w:r>
            <w:r>
              <w:rPr>
                <w:rFonts w:hint="eastAsia" w:ascii="宋体" w:hAnsi="宋体"/>
                <w:color w:val="000000"/>
                <w:sz w:val="24"/>
                <w:szCs w:val="24"/>
              </w:rPr>
              <w:t xml:space="preserve">投标产品属于财政部、国家发改委公布的“节能产品品目清单”范围内的，投标人提供国家确定的认证机构出具的、处于有效期之内的该节能产品认证证书复印件的，有1个得0.5分，最多得1分。</w:t>
            </w:r>
            <w:r/>
          </w:p>
          <w:p>
            <w:pPr>
              <w:spacing w:line="360" w:lineRule="exact"/>
              <w:rPr>
                <w:rFonts w:hint="eastAsia" w:ascii="宋体" w:hAnsi="宋体" w:eastAsia="宋体" w:cs="宋体"/>
                <w:sz w:val="24"/>
                <w:szCs w:val="24"/>
                <w:highlight w:val="none"/>
              </w:rPr>
            </w:pP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投标产品属于财政部、生态环境部公布的“环境标志产品品目清单”范围内的，投标人提供国家确定的认证机构出具的、处于有效期内的该投标产品环境标志产品认证证书复印件的，有1个得0.5分，最多得1分。</w:t>
            </w:r>
            <w:r/>
          </w:p>
        </w:tc>
        <w:tc>
          <w:tcPr>
            <w:tcW w:w="362" w:type="pct"/>
            <w:vAlign w:val="center"/>
            <w:textDirection w:val="lrTb"/>
            <w:noWrap w:val="false"/>
          </w:tcPr>
          <w:p>
            <w:pPr>
              <w:pStyle w:val="894"/>
              <w:ind w:firstLine="0"/>
              <w:jc w:val="center"/>
              <w:spacing w:line="36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p>
        </w:tc>
      </w:tr>
      <w:tr>
        <w:trPr>
          <w:jc w:val="center"/>
          <w:trHeight w:val="90"/>
        </w:trPr>
        <w:tc>
          <w:tcPr>
            <w:tcW w:w="705" w:type="dxa"/>
            <w:vAlign w:val="center"/>
            <w:textDirection w:val="lrTb"/>
            <w:noWrap w:val="false"/>
          </w:tcPr>
          <w:p>
            <w:pPr>
              <w:pStyle w:val="894"/>
              <w:ind w:firstLine="0"/>
              <w:jc w:val="center"/>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p>
        </w:tc>
        <w:tc>
          <w:tcPr>
            <w:tcW w:w="1529" w:type="dxa"/>
            <w:vAlign w:val="center"/>
            <w:textDirection w:val="lrTb"/>
            <w:noWrap w:val="false"/>
          </w:tcPr>
          <w:p>
            <w:pPr>
              <w:jc w:val="cente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技术</w:t>
            </w:r>
            <w:r>
              <w:rPr>
                <w:rFonts w:hint="eastAsia" w:ascii="宋体" w:hAnsi="宋体" w:eastAsia="宋体" w:cs="宋体"/>
                <w:sz w:val="24"/>
                <w:szCs w:val="24"/>
                <w:lang w:val="en-US" w:eastAsia="zh-CN"/>
              </w:rPr>
              <w:t xml:space="preserve">参数</w:t>
            </w:r>
            <w:r/>
          </w:p>
          <w:p>
            <w:pPr>
              <w:jc w:val="center"/>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22</w:t>
            </w:r>
            <w:r>
              <w:rPr>
                <w:rFonts w:hint="eastAsia" w:ascii="宋体" w:hAnsi="宋体" w:eastAsia="宋体" w:cs="宋体"/>
                <w:sz w:val="24"/>
                <w:szCs w:val="24"/>
                <w:lang w:eastAsia="zh-CN"/>
              </w:rPr>
              <w:t xml:space="preserve">分）</w:t>
            </w:r>
            <w:r/>
          </w:p>
        </w:tc>
        <w:tc>
          <w:tcPr>
            <w:tcW w:w="7007" w:type="dxa"/>
            <w:vAlign w:val="center"/>
            <w:textDirection w:val="lrTb"/>
            <w:noWrap w:val="false"/>
          </w:tcPr>
          <w:p>
            <w:pPr>
              <w:spacing w:line="360" w:lineRule="exact"/>
              <w:rPr>
                <w:rFonts w:hint="eastAsia" w:ascii="宋体" w:hAnsi="宋体" w:eastAsia="宋体" w:cs="宋体"/>
                <w:b/>
                <w:bCs/>
                <w:sz w:val="24"/>
                <w:szCs w:val="24"/>
                <w:lang w:val="zh-CN" w:eastAsia="zh-CN"/>
              </w:rPr>
            </w:pPr>
            <w:r>
              <w:rPr>
                <w:rFonts w:hint="eastAsia" w:ascii="宋体" w:hAnsi="宋体" w:eastAsia="宋体" w:cs="宋体"/>
                <w:b w:val="0"/>
                <w:bCs w:val="0"/>
                <w:sz w:val="24"/>
                <w:szCs w:val="24"/>
                <w:lang w:val="zh-CN" w:eastAsia="zh-CN"/>
              </w:rPr>
              <w:t xml:space="preserve">投标供应商所投产品技术参数完全满足招标文件“采购需求”要求的得</w:t>
            </w:r>
            <w:r>
              <w:rPr>
                <w:rFonts w:hint="eastAsia" w:ascii="宋体" w:hAnsi="宋体" w:cs="宋体"/>
                <w:b w:val="0"/>
                <w:bCs w:val="0"/>
                <w:sz w:val="24"/>
                <w:szCs w:val="24"/>
                <w:lang w:val="en-US" w:eastAsia="zh-CN"/>
              </w:rPr>
              <w:t xml:space="preserve">满</w:t>
            </w:r>
            <w:r>
              <w:rPr>
                <w:rFonts w:hint="eastAsia" w:ascii="宋体" w:hAnsi="宋体" w:eastAsia="宋体" w:cs="宋体"/>
                <w:b w:val="0"/>
                <w:bCs w:val="0"/>
                <w:sz w:val="24"/>
                <w:szCs w:val="24"/>
                <w:lang w:val="zh-CN" w:eastAsia="zh-CN"/>
              </w:rPr>
              <w:t xml:space="preserve">分。其中标注“</w:t>
            </w:r>
            <w:r>
              <w:rPr>
                <w:rFonts w:hint="eastAsia" w:ascii="宋体" w:hAnsi="宋体"/>
                <w:b/>
                <w:bCs/>
                <w:sz w:val="24"/>
                <w:szCs w:val="21"/>
              </w:rPr>
              <w:t xml:space="preserve">*</w:t>
            </w:r>
            <w:r>
              <w:rPr>
                <w:rFonts w:hint="eastAsia" w:ascii="宋体" w:hAnsi="宋体" w:eastAsia="宋体" w:cs="宋体"/>
                <w:b w:val="0"/>
                <w:bCs w:val="0"/>
                <w:sz w:val="24"/>
                <w:szCs w:val="24"/>
                <w:lang w:val="zh-CN" w:eastAsia="zh-CN"/>
              </w:rPr>
              <w:t xml:space="preserve">”部分为实质性要求，有一项不满足的作无效标处理。投标供应商所投产品技术参数与招标文件“采购需求”中标注“▲”的参数相比较（标注“▲”的参数为重要参数），每有一项偏离扣1分，扣完为止</w:t>
            </w:r>
            <w:r>
              <w:rPr>
                <w:rFonts w:hint="eastAsia" w:ascii="宋体" w:hAnsi="宋体" w:cs="宋体"/>
                <w:b w:val="0"/>
                <w:bCs w:val="0"/>
                <w:sz w:val="24"/>
                <w:szCs w:val="24"/>
                <w:lang w:val="zh-CN" w:eastAsia="zh-CN"/>
              </w:rPr>
              <w:t xml:space="preserve">；</w:t>
            </w:r>
            <w:r>
              <w:rPr>
                <w:rFonts w:hint="eastAsia" w:ascii="宋体" w:hAnsi="宋体" w:eastAsia="宋体" w:cs="宋体"/>
                <w:b w:val="0"/>
                <w:bCs w:val="0"/>
                <w:sz w:val="24"/>
                <w:szCs w:val="24"/>
                <w:lang w:val="zh-CN" w:eastAsia="zh-CN"/>
              </w:rPr>
              <w:t xml:space="preserve">其他项（未标注符号的）参数，每有一项偏离的扣0.5分，扣完为止</w:t>
            </w:r>
            <w:r>
              <w:rPr>
                <w:rFonts w:hint="eastAsia" w:ascii="宋体" w:hAnsi="宋体" w:cs="宋体"/>
                <w:b w:val="0"/>
                <w:bCs w:val="0"/>
                <w:sz w:val="24"/>
                <w:szCs w:val="24"/>
                <w:lang w:val="zh-CN" w:eastAsia="zh-CN"/>
              </w:rPr>
              <w:t xml:space="preserve">。</w:t>
            </w:r>
            <w:r/>
          </w:p>
          <w:p>
            <w:pPr>
              <w:spacing w:line="360" w:lineRule="exact"/>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注：（1）技术参数要求中如需提供检测报告或证明材料的，投标供应商须按要求提供证明材料上传，未要求提供证明材料的，响应即可。未提供的作偏离处理。</w:t>
            </w:r>
            <w:r/>
          </w:p>
          <w:p>
            <w:pPr>
              <w:spacing w:line="360" w:lineRule="exact"/>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（2）投标供应商须提供详细的技术要求响应及偏离表，以及相应的技术证明材料（注明技术参数对应的序号项，以便于评委审查），不提供或提供不准确导致评委无法判断的不得分。</w:t>
            </w:r>
            <w:r/>
          </w:p>
        </w:tc>
        <w:tc>
          <w:tcPr>
            <w:tcW w:w="362" w:type="pct"/>
            <w:vAlign w:val="center"/>
            <w:textDirection w:val="lrTb"/>
            <w:noWrap w:val="false"/>
          </w:tcPr>
          <w:p>
            <w:pPr>
              <w:pStyle w:val="894"/>
              <w:ind w:firstLine="0"/>
              <w:jc w:val="cente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w:t>
            </w:r>
            <w:r/>
          </w:p>
        </w:tc>
      </w:tr>
      <w:tr>
        <w:trPr>
          <w:jc w:val="center"/>
          <w:trHeight w:val="566"/>
        </w:trPr>
        <w:tc>
          <w:tcPr>
            <w:tcW w:w="354" w:type="pct"/>
            <w:vAlign w:val="center"/>
            <w:textDirection w:val="lrTb"/>
            <w:noWrap w:val="false"/>
          </w:tcPr>
          <w:p>
            <w:pPr>
              <w:pStyle w:val="894"/>
              <w:ind w:firstLine="0"/>
              <w:jc w:val="center"/>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p>
        </w:tc>
        <w:tc>
          <w:tcPr>
            <w:tcW w:w="767" w:type="pct"/>
            <w:vAlign w:val="center"/>
            <w:textDirection w:val="lrTb"/>
            <w:noWrap w:val="false"/>
          </w:tcPr>
          <w:p>
            <w:pPr>
              <w:pStyle w:val="894"/>
              <w:ind w:firstLine="0"/>
              <w:jc w:val="center"/>
              <w:spacing w:line="3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企业</w:t>
            </w:r>
            <w:r>
              <w:rPr>
                <w:rFonts w:hint="eastAsia" w:ascii="宋体" w:hAnsi="宋体" w:eastAsia="宋体" w:cs="宋体"/>
                <w:sz w:val="24"/>
                <w:szCs w:val="24"/>
              </w:rPr>
              <w:t xml:space="preserve">实力</w:t>
            </w:r>
            <w:r/>
          </w:p>
          <w:p>
            <w:pPr>
              <w:pStyle w:val="894"/>
              <w:ind w:firstLine="0"/>
              <w:jc w:val="center"/>
              <w:spacing w:line="3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tc>
        <w:tc>
          <w:tcPr>
            <w:tcW w:w="3515" w:type="pct"/>
            <w:vAlign w:val="center"/>
            <w:textDirection w:val="lrTb"/>
            <w:noWrap w:val="false"/>
          </w:tcPr>
          <w:p>
            <w:pPr>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提供</w:t>
            </w:r>
            <w:r>
              <w:rPr>
                <w:rFonts w:hint="eastAsia" w:ascii="宋体" w:hAnsi="宋体" w:eastAsia="宋体" w:cs="宋体"/>
                <w:sz w:val="24"/>
                <w:szCs w:val="24"/>
                <w:highlight w:val="none"/>
                <w:lang w:val="en-US" w:eastAsia="zh-CN"/>
              </w:rPr>
              <w:t xml:space="preserve">投标人或</w:t>
            </w:r>
            <w:r>
              <w:rPr>
                <w:rFonts w:hint="eastAsia" w:ascii="宋体" w:hAnsi="宋体" w:eastAsia="宋体" w:cs="宋体"/>
                <w:color w:val="auto"/>
                <w:sz w:val="24"/>
                <w:szCs w:val="24"/>
                <w:lang w:val="en-US" w:eastAsia="zh-CN"/>
              </w:rPr>
              <w:t xml:space="preserve">生产厂家</w:t>
            </w:r>
            <w:r>
              <w:rPr>
                <w:rFonts w:hint="eastAsia" w:ascii="宋体" w:hAnsi="宋体" w:eastAsia="宋体" w:cs="宋体"/>
                <w:sz w:val="24"/>
                <w:szCs w:val="24"/>
              </w:rPr>
              <w:t xml:space="preserve">有效期内的</w:t>
            </w:r>
            <w:r>
              <w:rPr>
                <w:rFonts w:hint="eastAsia" w:ascii="宋体" w:hAnsi="宋体" w:eastAsia="宋体" w:cs="宋体"/>
                <w:sz w:val="24"/>
                <w:szCs w:val="24"/>
                <w:lang w:val="en-US" w:eastAsia="zh-CN"/>
              </w:rPr>
              <w:t xml:space="preserve">①</w:t>
            </w:r>
            <w:r>
              <w:rPr>
                <w:rFonts w:hint="eastAsia" w:ascii="宋体" w:hAnsi="宋体" w:eastAsia="宋体" w:cs="宋体"/>
                <w:sz w:val="24"/>
                <w:szCs w:val="24"/>
              </w:rPr>
              <w:t xml:space="preserve">ISO9001质量管理体系认证证书</w:t>
            </w:r>
            <w:r>
              <w:rPr>
                <w:rFonts w:hint="eastAsia" w:ascii="宋体" w:hAnsi="宋体" w:eastAsia="宋体" w:cs="宋体"/>
                <w:sz w:val="24"/>
                <w:szCs w:val="24"/>
                <w:lang w:eastAsia="zh-CN"/>
              </w:rPr>
              <w:t xml:space="preserve">②</w:t>
            </w:r>
            <w:r>
              <w:rPr>
                <w:rFonts w:hint="eastAsia" w:ascii="宋体" w:hAnsi="宋体" w:eastAsia="宋体" w:cs="宋体"/>
                <w:sz w:val="24"/>
                <w:szCs w:val="24"/>
              </w:rPr>
              <w:t xml:space="preserve">ISO14001环境管理体系认证证书</w:t>
            </w:r>
            <w:r>
              <w:rPr>
                <w:rFonts w:hint="eastAsia" w:ascii="宋体" w:hAnsi="宋体" w:eastAsia="宋体" w:cs="宋体"/>
                <w:sz w:val="24"/>
                <w:szCs w:val="24"/>
                <w:lang w:val="en-US" w:eastAsia="zh-CN"/>
              </w:rPr>
              <w:t xml:space="preserve">③</w:t>
            </w:r>
            <w:r>
              <w:rPr>
                <w:rFonts w:hint="eastAsia" w:ascii="宋体" w:hAnsi="宋体" w:eastAsia="宋体" w:cs="宋体"/>
                <w:sz w:val="24"/>
                <w:szCs w:val="24"/>
              </w:rPr>
              <w:t xml:space="preserve">ISO45001职业健康安全管理体系认证证书</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每提供一项认证证书得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分，最多</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分，不满足不得分；</w:t>
            </w:r>
            <w:r/>
          </w:p>
          <w:p>
            <w:pPr>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提供</w:t>
            </w:r>
            <w:r>
              <w:rPr>
                <w:rFonts w:hint="eastAsia" w:ascii="宋体" w:hAnsi="宋体" w:eastAsia="宋体" w:cs="宋体"/>
                <w:sz w:val="24"/>
                <w:szCs w:val="24"/>
                <w:highlight w:val="none"/>
                <w:lang w:val="en-US" w:eastAsia="zh-CN"/>
              </w:rPr>
              <w:t xml:space="preserve">投标人或</w:t>
            </w:r>
            <w:r>
              <w:rPr>
                <w:rFonts w:hint="eastAsia" w:ascii="宋体" w:hAnsi="宋体" w:eastAsia="宋体" w:cs="宋体"/>
                <w:color w:val="auto"/>
                <w:sz w:val="24"/>
                <w:szCs w:val="24"/>
                <w:lang w:val="en-US" w:eastAsia="zh-CN"/>
              </w:rPr>
              <w:t xml:space="preserve">生产厂家</w:t>
            </w:r>
            <w:r>
              <w:rPr>
                <w:rFonts w:hint="eastAsia" w:ascii="宋体" w:hAnsi="宋体" w:eastAsia="宋体" w:cs="宋体"/>
                <w:sz w:val="24"/>
                <w:szCs w:val="24"/>
              </w:rPr>
              <w:t xml:space="preserve">有效期内的家具产品环保卫士认证证书，</w:t>
            </w:r>
            <w:r>
              <w:rPr>
                <w:rFonts w:hint="eastAsia" w:ascii="宋体" w:hAnsi="宋体" w:eastAsia="宋体" w:cs="宋体"/>
                <w:sz w:val="24"/>
                <w:szCs w:val="24"/>
                <w:lang w:val="en-US" w:eastAsia="zh-CN"/>
              </w:rPr>
              <w:t xml:space="preserve">证书范围至少包含医用、办公、金属、木制、软体家具</w:t>
            </w:r>
            <w:r>
              <w:rPr>
                <w:rFonts w:hint="eastAsia" w:ascii="宋体" w:hAnsi="宋体" w:eastAsia="宋体" w:cs="宋体"/>
                <w:sz w:val="24"/>
                <w:szCs w:val="24"/>
              </w:rPr>
              <w:t xml:space="preserve">满足得1分，不满足不得分；</w:t>
            </w:r>
            <w:r/>
          </w:p>
          <w:p>
            <w:pPr>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提供</w:t>
            </w:r>
            <w:r>
              <w:rPr>
                <w:rFonts w:hint="eastAsia" w:ascii="宋体" w:hAnsi="宋体" w:eastAsia="宋体" w:cs="宋体"/>
                <w:sz w:val="24"/>
                <w:szCs w:val="24"/>
                <w:highlight w:val="none"/>
                <w:lang w:val="en-US" w:eastAsia="zh-CN"/>
              </w:rPr>
              <w:t xml:space="preserve">投标人或</w:t>
            </w:r>
            <w:r>
              <w:rPr>
                <w:rFonts w:hint="eastAsia" w:ascii="宋体" w:hAnsi="宋体" w:eastAsia="宋体" w:cs="宋体"/>
                <w:color w:val="auto"/>
                <w:sz w:val="24"/>
                <w:szCs w:val="24"/>
                <w:lang w:val="en-US" w:eastAsia="zh-CN"/>
              </w:rPr>
              <w:t xml:space="preserve">生产厂家</w:t>
            </w:r>
            <w:r>
              <w:rPr>
                <w:rFonts w:hint="eastAsia" w:ascii="宋体" w:hAnsi="宋体" w:eastAsia="宋体" w:cs="宋体"/>
                <w:sz w:val="24"/>
                <w:szCs w:val="24"/>
              </w:rPr>
              <w:t xml:space="preserve">有效期内的低VOCs家具产品认证证书，</w:t>
            </w:r>
            <w:r>
              <w:rPr>
                <w:rFonts w:hint="eastAsia" w:ascii="宋体" w:hAnsi="宋体" w:eastAsia="宋体" w:cs="宋体"/>
                <w:sz w:val="24"/>
                <w:szCs w:val="24"/>
                <w:lang w:val="en-US" w:eastAsia="zh-CN"/>
              </w:rPr>
              <w:t xml:space="preserve">证书范围至少包含医用、办公、金属、木制、软体家具</w:t>
            </w:r>
            <w:r>
              <w:rPr>
                <w:rFonts w:hint="eastAsia" w:ascii="宋体" w:hAnsi="宋体" w:eastAsia="宋体" w:cs="宋体"/>
                <w:sz w:val="24"/>
                <w:szCs w:val="24"/>
              </w:rPr>
              <w:t xml:space="preserve">满足得1分，不满足不得分；</w:t>
            </w:r>
            <w:r/>
          </w:p>
          <w:p>
            <w:pPr>
              <w:jc w:val="left"/>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提供</w:t>
            </w:r>
            <w:r>
              <w:rPr>
                <w:rFonts w:hint="eastAsia" w:ascii="宋体" w:hAnsi="宋体" w:eastAsia="宋体" w:cs="宋体"/>
                <w:sz w:val="24"/>
                <w:szCs w:val="24"/>
                <w:highlight w:val="none"/>
                <w:lang w:val="en-US" w:eastAsia="zh-CN"/>
              </w:rPr>
              <w:t xml:space="preserve">投标人或</w:t>
            </w:r>
            <w:r>
              <w:rPr>
                <w:rFonts w:hint="eastAsia" w:ascii="宋体" w:hAnsi="宋体" w:eastAsia="宋体" w:cs="宋体"/>
                <w:color w:val="auto"/>
                <w:sz w:val="24"/>
                <w:szCs w:val="24"/>
                <w:lang w:val="en-US" w:eastAsia="zh-CN"/>
              </w:rPr>
              <w:t xml:space="preserve">生产厂家</w:t>
            </w:r>
            <w:r>
              <w:rPr>
                <w:rFonts w:hint="eastAsia" w:ascii="宋体" w:hAnsi="宋体" w:eastAsia="宋体" w:cs="宋体"/>
                <w:sz w:val="24"/>
                <w:szCs w:val="24"/>
              </w:rPr>
              <w:t xml:space="preserve">有效期内的</w:t>
            </w:r>
            <w:r>
              <w:rPr>
                <w:rFonts w:hint="eastAsia" w:ascii="宋体" w:hAnsi="宋体" w:eastAsia="宋体" w:cs="宋体"/>
                <w:sz w:val="24"/>
                <w:szCs w:val="24"/>
                <w:lang w:val="en-US" w:eastAsia="zh-CN"/>
              </w:rPr>
              <w:t xml:space="preserve">全国商品售后服务达标认证证书</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证书范围至少包含医用、办公、金属、</w:t>
            </w:r>
            <w:r>
              <w:rPr>
                <w:rFonts w:hint="eastAsia" w:ascii="宋体" w:hAnsi="宋体" w:cs="宋体"/>
                <w:sz w:val="24"/>
                <w:szCs w:val="24"/>
                <w:lang w:val="en-US" w:eastAsia="zh-CN"/>
              </w:rPr>
              <w:t xml:space="preserve">钢</w:t>
            </w:r>
            <w:r>
              <w:rPr>
                <w:rFonts w:hint="eastAsia" w:ascii="宋体" w:hAnsi="宋体" w:eastAsia="宋体" w:cs="宋体"/>
                <w:sz w:val="24"/>
                <w:szCs w:val="24"/>
                <w:lang w:val="en-US" w:eastAsia="zh-CN"/>
              </w:rPr>
              <w:t xml:space="preserve">木家具、软体家具</w:t>
            </w:r>
            <w:r>
              <w:rPr>
                <w:rFonts w:hint="eastAsia" w:ascii="宋体" w:hAnsi="宋体" w:eastAsia="宋体" w:cs="宋体"/>
                <w:sz w:val="24"/>
                <w:szCs w:val="24"/>
              </w:rPr>
              <w:t xml:space="preserve"> 满足得1分，不满足不得分</w:t>
            </w:r>
            <w:r>
              <w:rPr>
                <w:rFonts w:hint="eastAsia" w:ascii="宋体" w:hAnsi="宋体" w:eastAsia="宋体" w:cs="宋体"/>
                <w:sz w:val="24"/>
                <w:szCs w:val="24"/>
                <w:lang w:eastAsia="zh-CN"/>
              </w:rPr>
              <w:t xml:space="preserve">。</w:t>
            </w:r>
            <w:r/>
          </w:p>
          <w:p>
            <w:pPr>
              <w:pStyle w:val="894"/>
              <w:ind w:firstLine="0"/>
              <w:jc w:val="both"/>
              <w:spacing w:line="360" w:lineRule="exact"/>
              <w:rPr>
                <w:rFonts w:hint="eastAsia" w:ascii="宋体" w:hAnsi="宋体" w:eastAsia="宋体" w:cs="宋体"/>
                <w:sz w:val="24"/>
                <w:szCs w:val="24"/>
                <w:lang w:eastAsia="zh-CN"/>
              </w:rPr>
            </w:pPr>
            <w:r>
              <w:rPr>
                <w:rFonts w:hint="eastAsia" w:ascii="宋体" w:hAnsi="宋体" w:eastAsia="宋体" w:cs="宋体"/>
                <w:b/>
                <w:bCs/>
                <w:sz w:val="24"/>
                <w:szCs w:val="24"/>
              </w:rPr>
              <w:t xml:space="preserve">注：投标文件中同时提供认证证书扫描件及全国认证认可信息公共服务平台官网证书信息查询截图，否则不得分。</w:t>
            </w:r>
            <w:r/>
          </w:p>
        </w:tc>
        <w:tc>
          <w:tcPr>
            <w:tcW w:w="362" w:type="pct"/>
            <w:vAlign w:val="center"/>
            <w:textDirection w:val="lrTb"/>
            <w:noWrap w:val="false"/>
          </w:tcPr>
          <w:p>
            <w:pPr>
              <w:pStyle w:val="894"/>
              <w:ind w:firstLine="0"/>
              <w:jc w:val="center"/>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6</w:t>
            </w:r>
            <w:r/>
          </w:p>
        </w:tc>
      </w:tr>
      <w:tr>
        <w:trPr>
          <w:jc w:val="center"/>
          <w:trHeight w:val="1528"/>
        </w:trPr>
        <w:tc>
          <w:tcPr>
            <w:tcW w:w="354" w:type="pct"/>
            <w:vAlign w:val="center"/>
            <w:textDirection w:val="lrTb"/>
            <w:noWrap w:val="false"/>
          </w:tcPr>
          <w:p>
            <w:pPr>
              <w:pStyle w:val="894"/>
              <w:ind w:firstLine="0"/>
              <w:jc w:val="center"/>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p>
        </w:tc>
        <w:tc>
          <w:tcPr>
            <w:tcW w:w="767" w:type="pct"/>
            <w:vAlign w:val="center"/>
            <w:textDirection w:val="lrTb"/>
            <w:noWrap w:val="false"/>
          </w:tcPr>
          <w:p>
            <w:pPr>
              <w:pStyle w:val="894"/>
              <w:ind w:firstLine="0"/>
              <w:jc w:val="center"/>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类似业绩（</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w:t>
            </w:r>
            <w:r/>
          </w:p>
        </w:tc>
        <w:tc>
          <w:tcPr>
            <w:tcW w:w="3515" w:type="pct"/>
            <w:vAlign w:val="center"/>
            <w:textDirection w:val="lrTb"/>
            <w:noWrap w:val="false"/>
          </w:tcPr>
          <w:p>
            <w:pP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投标人提供2022年</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月以来（以合同签订时间为准）承担过类似成功案例的，每</w:t>
            </w:r>
            <w:r>
              <w:rPr>
                <w:rFonts w:hint="eastAsia" w:ascii="宋体" w:hAnsi="宋体" w:eastAsia="宋体" w:cs="宋体"/>
                <w:sz w:val="24"/>
                <w:szCs w:val="24"/>
                <w:highlight w:val="none"/>
                <w:lang w:val="en-US" w:eastAsia="zh-CN"/>
              </w:rPr>
              <w:t xml:space="preserve">提供一个</w:t>
            </w:r>
            <w:r>
              <w:rPr>
                <w:rFonts w:hint="eastAsia" w:ascii="宋体" w:hAnsi="宋体" w:eastAsia="宋体" w:cs="宋体"/>
                <w:sz w:val="24"/>
                <w:szCs w:val="24"/>
                <w:highlight w:val="none"/>
              </w:rPr>
              <w:t xml:space="preserve">得1分，最高得3分，未提供的不得分。</w:t>
            </w:r>
            <w:r/>
          </w:p>
          <w:p>
            <w:pPr>
              <w:widowControl w:val="off"/>
              <w:rPr>
                <w:rFonts w:hint="eastAsia" w:ascii="宋体" w:hAnsi="宋体" w:eastAsia="宋体" w:cs="宋体"/>
                <w:b/>
                <w:bCs/>
                <w:sz w:val="24"/>
                <w:szCs w:val="24"/>
                <w:lang w:eastAsia="zh-CN"/>
              </w:rPr>
            </w:pPr>
            <w:r>
              <w:rPr>
                <w:rFonts w:hint="eastAsia" w:ascii="宋体" w:hAnsi="宋体" w:eastAsia="宋体" w:cs="宋体"/>
                <w:b/>
                <w:bCs/>
                <w:sz w:val="24"/>
                <w:szCs w:val="24"/>
                <w:highlight w:val="none"/>
                <w:lang w:val="en-US" w:eastAsia="zh-CN"/>
              </w:rPr>
              <w:t xml:space="preserve">注：</w:t>
            </w:r>
            <w:r>
              <w:rPr>
                <w:rFonts w:hint="eastAsia" w:ascii="宋体" w:hAnsi="宋体" w:eastAsia="宋体" w:cs="宋体"/>
                <w:b/>
                <w:bCs/>
                <w:sz w:val="24"/>
                <w:szCs w:val="24"/>
                <w:highlight w:val="none"/>
              </w:rPr>
              <w:t xml:space="preserve">提供合同、发票及验收报告扫描件并加盖投标人电子签章，否则不得分</w:t>
            </w:r>
            <w:r>
              <w:rPr>
                <w:rFonts w:hint="eastAsia" w:ascii="宋体" w:hAnsi="宋体" w:eastAsia="宋体" w:cs="宋体"/>
                <w:b/>
                <w:bCs/>
                <w:sz w:val="24"/>
                <w:szCs w:val="24"/>
                <w:highlight w:val="none"/>
                <w:lang w:eastAsia="zh-CN"/>
              </w:rPr>
              <w:t xml:space="preserve">。</w:t>
            </w:r>
            <w:r/>
          </w:p>
        </w:tc>
        <w:tc>
          <w:tcPr>
            <w:tcW w:w="362" w:type="pct"/>
            <w:vAlign w:val="center"/>
            <w:textDirection w:val="lrTb"/>
            <w:noWrap w:val="false"/>
          </w:tcPr>
          <w:p>
            <w:pPr>
              <w:pStyle w:val="894"/>
              <w:ind w:firstLine="0"/>
              <w:jc w:val="center"/>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p>
        </w:tc>
      </w:tr>
      <w:tr>
        <w:trPr>
          <w:jc w:val="center"/>
          <w:trHeight w:val="329"/>
        </w:trPr>
        <w:tc>
          <w:tcPr>
            <w:tcW w:w="354" w:type="pct"/>
            <w:vAlign w:val="center"/>
            <w:textDirection w:val="lrTb"/>
            <w:noWrap w:val="false"/>
          </w:tcPr>
          <w:p>
            <w:pPr>
              <w:pStyle w:val="894"/>
              <w:ind w:firstLine="0"/>
              <w:jc w:val="center"/>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6</w:t>
            </w:r>
            <w:r/>
          </w:p>
        </w:tc>
        <w:tc>
          <w:tcPr>
            <w:tcW w:w="767" w:type="pct"/>
            <w:vAlign w:val="center"/>
            <w:textDirection w:val="lrTb"/>
            <w:noWrap w:val="false"/>
          </w:tcPr>
          <w:p>
            <w:pPr>
              <w:pStyle w:val="894"/>
              <w:ind w:firstLine="0"/>
              <w:jc w:val="cente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技术方案</w:t>
            </w:r>
            <w:r/>
          </w:p>
          <w:p>
            <w:pPr>
              <w:pStyle w:val="894"/>
              <w:ind w:firstLine="0"/>
              <w:jc w:val="center"/>
              <w:spacing w:line="360" w:lineRule="exact"/>
              <w:rPr>
                <w:rFonts w:hint="eastAsia" w:ascii="宋体" w:hAnsi="宋体" w:eastAsia="宋体" w:cs="宋体"/>
                <w:color w:val="ff0000"/>
                <w:sz w:val="24"/>
                <w:szCs w:val="24"/>
                <w:lang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17</w:t>
            </w:r>
            <w:r>
              <w:rPr>
                <w:rFonts w:hint="eastAsia" w:ascii="宋体" w:hAnsi="宋体" w:eastAsia="宋体" w:cs="宋体"/>
                <w:color w:val="auto"/>
                <w:sz w:val="24"/>
                <w:szCs w:val="24"/>
                <w:lang w:eastAsia="zh-CN"/>
              </w:rPr>
              <w:t xml:space="preserve">分）</w:t>
            </w:r>
            <w:r/>
          </w:p>
        </w:tc>
        <w:tc>
          <w:tcPr>
            <w:tcW w:w="3515" w:type="pct"/>
            <w:vAlign w:val="center"/>
            <w:textDirection w:val="lrTb"/>
            <w:noWrap w:val="false"/>
          </w:tcPr>
          <w:p>
            <w:pPr>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项目具体实施方案（</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w:t>
            </w:r>
            <w:r/>
          </w:p>
          <w:p>
            <w:pPr>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方案至少包含家具安装方案、工期安排、人员安排、质量控制、安全控制等内容，能充分结合本项目实际情况及采购需求，对项目总体安排思路清晰，在提高效率，减少成本，减轻施工环境影响等方面有明确筹划，安排合理，措施得当，效果明显，针对性强、可操作性强。</w:t>
            </w:r>
            <w:r>
              <w:rPr>
                <w:rFonts w:hint="eastAsia" w:ascii="宋体" w:hAnsi="宋体" w:cs="宋体"/>
                <w:sz w:val="24"/>
                <w:szCs w:val="24"/>
                <w:lang w:eastAsia="zh-CN"/>
              </w:rPr>
              <w:t xml:space="preserve">整体方案可行无缺陷的，</w:t>
            </w:r>
            <w:r>
              <w:rPr>
                <w:rFonts w:hint="eastAsia" w:ascii="宋体" w:hAnsi="宋体" w:cs="宋体"/>
                <w:sz w:val="24"/>
                <w:szCs w:val="24"/>
                <w:lang w:val="en-US" w:eastAsia="zh-CN"/>
              </w:rPr>
              <w:t xml:space="preserve">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w:t>
            </w:r>
            <w:r>
              <w:rPr>
                <w:rFonts w:hint="eastAsia" w:ascii="宋体" w:hAnsi="宋体" w:cs="宋体"/>
                <w:sz w:val="24"/>
                <w:szCs w:val="24"/>
                <w:lang w:eastAsia="zh-CN"/>
              </w:rPr>
              <w:t xml:space="preserve">存在少量可接受的缺陷或部分方案不可行的，得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w:t>
            </w:r>
            <w:r>
              <w:rPr>
                <w:rFonts w:hint="eastAsia" w:ascii="宋体" w:hAnsi="宋体" w:cs="宋体"/>
                <w:sz w:val="24"/>
                <w:szCs w:val="24"/>
                <w:lang w:eastAsia="zh-CN"/>
              </w:rPr>
              <w:t xml:space="preserve">存在少量缺陷或部分方案不可行的，得1分；</w:t>
            </w:r>
            <w:r>
              <w:rPr>
                <w:rFonts w:hint="eastAsia" w:ascii="宋体" w:hAnsi="宋体" w:eastAsia="宋体" w:cs="宋体"/>
                <w:sz w:val="24"/>
                <w:szCs w:val="24"/>
                <w:lang w:eastAsia="zh-CN"/>
              </w:rPr>
              <w:t xml:space="preserve">未提供的不得分。</w:t>
            </w:r>
            <w:r/>
          </w:p>
          <w:p>
            <w:pPr>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技术方案（</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w:t>
            </w:r>
            <w:r/>
          </w:p>
          <w:p>
            <w:pPr>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方案中家具材料选型和配置科学合理，产品技术先进、环保效益显著，对现场设施影响小，安装调试方便，使用舒适度好。</w:t>
            </w:r>
            <w:r>
              <w:rPr>
                <w:rFonts w:hint="eastAsia" w:ascii="宋体" w:hAnsi="宋体" w:cs="宋体"/>
                <w:sz w:val="24"/>
                <w:szCs w:val="24"/>
                <w:lang w:eastAsia="zh-CN"/>
              </w:rPr>
              <w:t xml:space="preserve">整体方案可行无缺陷的，</w:t>
            </w:r>
            <w:r>
              <w:rPr>
                <w:rFonts w:hint="eastAsia" w:ascii="宋体" w:hAnsi="宋体" w:cs="宋体"/>
                <w:sz w:val="24"/>
                <w:szCs w:val="24"/>
                <w:lang w:val="en-US" w:eastAsia="zh-CN"/>
              </w:rPr>
              <w:t xml:space="preserve">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w:t>
            </w:r>
            <w:r>
              <w:rPr>
                <w:rFonts w:hint="eastAsia" w:ascii="宋体" w:hAnsi="宋体" w:cs="宋体"/>
                <w:sz w:val="24"/>
                <w:szCs w:val="24"/>
                <w:lang w:eastAsia="zh-CN"/>
              </w:rPr>
              <w:t xml:space="preserve">存在少量可接受的缺陷或部分方案不可行的，得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w:t>
            </w:r>
            <w:r>
              <w:rPr>
                <w:rFonts w:hint="eastAsia" w:ascii="宋体" w:hAnsi="宋体" w:cs="宋体"/>
                <w:sz w:val="24"/>
                <w:szCs w:val="24"/>
                <w:lang w:eastAsia="zh-CN"/>
              </w:rPr>
              <w:t xml:space="preserve">存在少量缺陷或部分方案不可行的，得1分；</w:t>
            </w:r>
            <w:r>
              <w:rPr>
                <w:rFonts w:hint="eastAsia" w:ascii="宋体" w:hAnsi="宋体" w:eastAsia="宋体" w:cs="宋体"/>
                <w:sz w:val="24"/>
                <w:szCs w:val="24"/>
                <w:lang w:eastAsia="zh-CN"/>
              </w:rPr>
              <w:t xml:space="preserve">未提供的不得分。</w:t>
            </w:r>
            <w:r/>
          </w:p>
          <w:p>
            <w:pPr>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应急措施方案（</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w:t>
            </w:r>
            <w:r/>
          </w:p>
          <w:p>
            <w:pPr>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方案中对实施过程中可能影响交货期、产品质量、安全、环境、现场秩序等环节提供可行的应急解决方案和处理措施。内容完整且阐述详实具体、具体明确、应急预案科学和处理措施合理、安全性好。优于项目需求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分，完成满足项目需求的得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w:t>
            </w:r>
            <w:r>
              <w:rPr>
                <w:rFonts w:hint="eastAsia" w:ascii="宋体" w:hAnsi="宋体" w:cs="宋体"/>
                <w:sz w:val="24"/>
                <w:szCs w:val="24"/>
                <w:lang w:eastAsia="zh-CN"/>
              </w:rPr>
              <w:t xml:space="preserve">存在少量缺陷或部分方案不可行的，得1分；</w:t>
            </w:r>
            <w:r>
              <w:rPr>
                <w:rFonts w:hint="eastAsia" w:ascii="宋体" w:hAnsi="宋体" w:eastAsia="宋体" w:cs="宋体"/>
                <w:sz w:val="24"/>
                <w:szCs w:val="24"/>
                <w:lang w:eastAsia="zh-CN"/>
              </w:rPr>
              <w:t xml:space="preserve">未提供的不得分。</w:t>
            </w:r>
            <w:r/>
          </w:p>
          <w:p>
            <w:pPr>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设计方案（</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w:t>
            </w:r>
            <w:r/>
          </w:p>
          <w:p>
            <w:pPr>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投标人</w:t>
            </w:r>
            <w:r>
              <w:rPr>
                <w:rFonts w:hint="eastAsia" w:ascii="宋体" w:hAnsi="宋体" w:cs="宋体"/>
                <w:sz w:val="24"/>
                <w:szCs w:val="24"/>
                <w:lang w:val="en-US" w:eastAsia="zh-CN"/>
              </w:rPr>
              <w:t xml:space="preserve">可</w:t>
            </w:r>
            <w:r>
              <w:rPr>
                <w:rFonts w:hint="eastAsia" w:ascii="宋体" w:hAnsi="宋体" w:eastAsia="宋体" w:cs="宋体"/>
                <w:sz w:val="24"/>
                <w:szCs w:val="24"/>
                <w:lang w:eastAsia="zh-CN"/>
              </w:rPr>
              <w:t xml:space="preserve">自行勘查现场，综合考虑在满足招标文件要求的基础上对家具摆放、空间透视、深化设计（结构、走线、安装、用料等）、效果展示。针对深化设计的技术水平和环境的配套组合，整体效果佳（提供效果图）。优于项目需求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分，完成满足项目需求的得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w:t>
            </w:r>
            <w:r>
              <w:rPr>
                <w:rFonts w:hint="eastAsia" w:ascii="宋体" w:hAnsi="宋体" w:cs="宋体"/>
                <w:sz w:val="24"/>
                <w:szCs w:val="24"/>
                <w:lang w:eastAsia="zh-CN"/>
              </w:rPr>
              <w:t xml:space="preserve">存在少量缺陷或部分方案不可行的，得1分；</w:t>
            </w:r>
            <w:r>
              <w:rPr>
                <w:rFonts w:hint="eastAsia" w:ascii="宋体" w:hAnsi="宋体" w:eastAsia="宋体" w:cs="宋体"/>
                <w:sz w:val="24"/>
                <w:szCs w:val="24"/>
                <w:lang w:eastAsia="zh-CN"/>
              </w:rPr>
              <w:t xml:space="preserve">未提供的不得分。</w:t>
            </w:r>
            <w:r/>
          </w:p>
          <w:p>
            <w:pPr>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项目重点、难点分析及解决方案（2分）</w:t>
            </w:r>
            <w:r/>
          </w:p>
          <w:p>
            <w:pPr>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结合项目工作中的难点分析，针对家具如何组合、如何最大限度减少对院方正常办公环境的影响，分析全面、深入，应对措施科学合理，能有效减少后期风险，内容详细完善，可操作性强。</w:t>
            </w:r>
            <w:r>
              <w:rPr>
                <w:rFonts w:hint="eastAsia" w:ascii="宋体" w:hAnsi="宋体" w:cs="宋体"/>
                <w:sz w:val="24"/>
                <w:szCs w:val="24"/>
                <w:lang w:eastAsia="zh-CN"/>
              </w:rPr>
              <w:t xml:space="preserve">整体方案可行无缺陷的</w:t>
            </w:r>
            <w:r>
              <w:rPr>
                <w:rFonts w:hint="eastAsia" w:ascii="宋体" w:hAnsi="宋体" w:eastAsia="宋体" w:cs="宋体"/>
                <w:sz w:val="24"/>
                <w:szCs w:val="24"/>
                <w:lang w:eastAsia="zh-CN"/>
              </w:rPr>
              <w:t xml:space="preserve">2分；</w:t>
            </w:r>
            <w:r>
              <w:rPr>
                <w:rFonts w:hint="eastAsia" w:ascii="宋体" w:hAnsi="宋体" w:cs="宋体"/>
                <w:sz w:val="24"/>
                <w:szCs w:val="24"/>
                <w:lang w:eastAsia="zh-CN"/>
              </w:rPr>
              <w:t xml:space="preserve">存在少量可接受的缺陷或部分方案不可行的，得</w:t>
            </w:r>
            <w:r>
              <w:rPr>
                <w:rFonts w:hint="eastAsia" w:ascii="宋体" w:hAnsi="宋体" w:eastAsia="宋体" w:cs="宋体"/>
                <w:sz w:val="24"/>
                <w:szCs w:val="24"/>
                <w:lang w:eastAsia="zh-CN"/>
              </w:rPr>
              <w:t xml:space="preserve">1分；基本满足项目需求的得0.5分；未提供的不得分。</w:t>
            </w:r>
            <w:r/>
          </w:p>
          <w:p>
            <w:pPr>
              <w:numPr>
                <w:ilvl w:val="0"/>
                <w:numId w:val="0"/>
              </w:numPr>
              <w:spacing w:line="40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6.</w:t>
            </w:r>
            <w:r>
              <w:rPr>
                <w:rFonts w:hint="eastAsia" w:ascii="宋体" w:hAnsi="宋体" w:eastAsia="宋体" w:cs="宋体"/>
                <w:sz w:val="24"/>
                <w:szCs w:val="24"/>
                <w:lang w:eastAsia="zh-CN"/>
              </w:rPr>
              <w:t xml:space="preserve">售后服务（</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w:t>
            </w:r>
            <w:r/>
          </w:p>
          <w:p>
            <w:pPr>
              <w:numPr>
                <w:ilvl w:val="0"/>
                <w:numId w:val="0"/>
              </w:numPr>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投标人针对本项目质量保证、服务承诺、响应时间等内容提供售后服务方案。方案完整且阐述详实具体，科学合理、规范高效、可行性强的得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分；方案较完整可行性较强的得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分；方案完整度差可得性一般的得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分；未提供的不得分。</w:t>
            </w:r>
            <w:r/>
          </w:p>
        </w:tc>
        <w:tc>
          <w:tcPr>
            <w:tcW w:w="362" w:type="pct"/>
            <w:vAlign w:val="center"/>
            <w:textDirection w:val="lrTb"/>
            <w:noWrap w:val="false"/>
          </w:tcPr>
          <w:p>
            <w:pPr>
              <w:pStyle w:val="894"/>
              <w:ind w:firstLine="0"/>
              <w:jc w:val="center"/>
              <w:spacing w:line="36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17</w:t>
            </w:r>
            <w:r/>
          </w:p>
        </w:tc>
      </w:tr>
      <w:tr>
        <w:trPr>
          <w:jc w:val="center"/>
          <w:trHeight w:val="3336"/>
        </w:trPr>
        <w:tc>
          <w:tcPr>
            <w:tcW w:w="354" w:type="pct"/>
            <w:vAlign w:val="center"/>
            <w:textDirection w:val="lrTb"/>
            <w:noWrap w:val="false"/>
          </w:tcPr>
          <w:p>
            <w:pPr>
              <w:pStyle w:val="894"/>
              <w:ind w:firstLine="0"/>
              <w:jc w:val="center"/>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7</w:t>
            </w:r>
            <w:r/>
          </w:p>
        </w:tc>
        <w:tc>
          <w:tcPr>
            <w:tcW w:w="767" w:type="pct"/>
            <w:vAlign w:val="center"/>
            <w:textDirection w:val="lrTb"/>
            <w:noWrap w:val="false"/>
          </w:tcPr>
          <w:p>
            <w:pPr>
              <w:pStyle w:val="894"/>
              <w:ind w:firstLine="0"/>
              <w:jc w:val="cente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样品</w:t>
            </w:r>
            <w:r/>
          </w:p>
          <w:p>
            <w:pPr>
              <w:pStyle w:val="894"/>
              <w:ind w:firstLine="0"/>
              <w:jc w:val="center"/>
              <w:spacing w:line="36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20</w:t>
            </w:r>
            <w:r>
              <w:rPr>
                <w:rFonts w:hint="eastAsia" w:ascii="宋体" w:hAnsi="宋体" w:eastAsia="宋体" w:cs="宋体"/>
                <w:color w:val="auto"/>
                <w:sz w:val="24"/>
                <w:szCs w:val="24"/>
                <w:lang w:eastAsia="zh-CN"/>
              </w:rPr>
              <w:t xml:space="preserve">分）</w:t>
            </w:r>
            <w:r/>
          </w:p>
        </w:tc>
        <w:tc>
          <w:tcPr>
            <w:tcW w:w="3515" w:type="pct"/>
            <w:vAlign w:val="center"/>
            <w:textDirection w:val="lrTb"/>
            <w:noWrap w:val="false"/>
          </w:tcPr>
          <w:p>
            <w:pPr>
              <w:numPr>
                <w:ilvl w:val="0"/>
                <w:numId w:val="0"/>
              </w:numP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投标人参加投标时需提供样品，评委会根据投标人提供的样品进行评分，未提供样品的或者经三分之二评委认定样品存在重大偏离的该分项不得分。</w:t>
            </w:r>
            <w:r/>
          </w:p>
          <w:p>
            <w:pPr>
              <w:numPr>
                <w:ilvl w:val="0"/>
                <w:numId w:val="0"/>
              </w:numP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1.垃圾盖（5分）</w:t>
            </w:r>
            <w:r/>
          </w:p>
          <w:p>
            <w:pPr>
              <w:numPr>
                <w:ilvl w:val="0"/>
                <w:numId w:val="0"/>
              </w:numP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材质品质好，工艺精湛、外观平整无色差、无异味、晃动无异响，接头紧凑无变形、表面平整、细节处理光滑的得5分；材质品质一般、工艺有瑕疵、外观平整有色差、有异味、晃动有响度，接头有松动、表面抚摸粗糙、细节处理一般得3分，材质品质差、工艺、外观平整差、有异味、晃动响度大，接头松动变形、表面粗糙抚摸有明显突刺、细节处理水平差得1分，未提供样品的不得分。</w:t>
            </w:r>
            <w:r/>
          </w:p>
          <w:p>
            <w:pPr>
              <w:numPr>
                <w:ilvl w:val="0"/>
                <w:numId w:val="0"/>
              </w:numP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2.导轨（5分）</w:t>
            </w:r>
            <w:r/>
          </w:p>
          <w:p>
            <w:pPr>
              <w:numPr>
                <w:ilvl w:val="0"/>
                <w:numId w:val="0"/>
              </w:numP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材质品质好，工艺精湛、外观平整无色差、无异味、晃动无异响，接头紧凑无变形、表面平整、细节处理光滑的得5分；材质品质一般、工艺有瑕疵、外观平整有色差、有异味、晃动有响度，接头有松动、表面抚摸粗糙、细节处理一般得3分，材质品质差、工艺、外观平整差、有异味、晃动响度大，接头松动变形、表面粗糙抚摸有明显突刺、细节处理水平差得1分，未提供样品的不得分。</w:t>
            </w:r>
            <w:r/>
          </w:p>
          <w:p>
            <w:pPr>
              <w:numPr>
                <w:ilvl w:val="0"/>
                <w:numId w:val="0"/>
              </w:numP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3.铰链（5分）</w:t>
            </w:r>
            <w:r/>
          </w:p>
          <w:p>
            <w:pPr>
              <w:numPr>
                <w:ilvl w:val="0"/>
                <w:numId w:val="0"/>
              </w:numP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材质品质好，工艺精湛、外观平整无色差、无异味、晃动无异响，接头紧凑无变形、表面平整、细节处理光滑的得5分；材质品质一般、工艺有瑕疵、外观平整有色差、有异味、晃动有响度，接头有松动、表面抚摸粗糙、细节处理一般得3分，材质品质差、工艺、外观平整差、有异味、晃动响度大，接头松动变形、表面粗糙抚摸有明显突刺、细节处理水平差得1分，未提供样品的不得分。</w:t>
            </w:r>
            <w:r/>
          </w:p>
          <w:p>
            <w:pPr>
              <w:numPr>
                <w:ilvl w:val="0"/>
                <w:numId w:val="0"/>
              </w:numP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4.锁具（5分）</w:t>
            </w:r>
            <w:r/>
          </w:p>
          <w:p>
            <w:pPr>
              <w:numPr>
                <w:ilvl w:val="0"/>
                <w:numId w:val="0"/>
              </w:numP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材质品质好，工艺精湛、外观平整无色差、无异味、晃动无异响，接头紧凑无变形、表面平整、细节处理光滑的得5分；材质品质一般、工艺有瑕疵、外观平整有色差、有异味、晃动有响度，接头有松动、表面抚摸粗糙、细节处理一般得3分，材质品质差、工艺、外观平整差、有异味、晃动响度大，接头松动变形、表面粗糙抚摸有明显突刺、细节处理水平差得1分，未提供样品的不得分。</w:t>
            </w:r>
            <w:r/>
          </w:p>
          <w:p>
            <w:pPr>
              <w:numPr>
                <w:ilvl w:val="0"/>
                <w:numId w:val="0"/>
              </w:numPr>
              <w:widowControl w:val="off"/>
              <w:rPr>
                <w:rFonts w:hint="default" w:ascii="宋体" w:hAnsi="宋体" w:eastAsia="宋体" w:cs="宋体"/>
                <w:b w:val="0"/>
                <w:bCs w:val="0"/>
                <w:sz w:val="24"/>
                <w:szCs w:val="24"/>
                <w:lang w:val="en-US" w:eastAsia="zh-CN"/>
              </w:rPr>
            </w:pPr>
            <w:r>
              <w:rPr>
                <w:rFonts w:hint="default" w:ascii="宋体" w:hAnsi="宋体" w:eastAsia="宋体" w:cs="宋体"/>
                <w:b w:val="0"/>
                <w:bCs w:val="0"/>
                <w:sz w:val="24"/>
                <w:szCs w:val="24"/>
                <w:lang w:val="en-US" w:eastAsia="zh-CN"/>
              </w:rPr>
            </w:r>
            <w:r/>
          </w:p>
        </w:tc>
        <w:tc>
          <w:tcPr>
            <w:tcW w:w="362" w:type="pct"/>
            <w:vAlign w:val="center"/>
            <w:textDirection w:val="lrTb"/>
            <w:noWrap w:val="false"/>
          </w:tcPr>
          <w:p>
            <w:pPr>
              <w:pStyle w:val="894"/>
              <w:ind w:firstLine="0"/>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20</w:t>
            </w:r>
            <w:r/>
          </w:p>
        </w:tc>
      </w:tr>
    </w:tbl>
    <w:p>
      <w:pPr>
        <w:jc w:val="left"/>
        <w:keepLines w:val="0"/>
        <w:keepNext w:val="0"/>
        <w:pageBreakBefore w:val="0"/>
        <w:spacing w:line="360" w:lineRule="auto"/>
        <w:widowControl w:val="off"/>
        <w:rPr>
          <w:rFonts w:hint="eastAsia" w:ascii="宋体" w:hAnsi="宋体" w:cs="宋体"/>
          <w:b w:val="0"/>
          <w:bCs w:val="0"/>
          <w:color w:val="auto"/>
          <w:sz w:val="24"/>
          <w:szCs w:val="24"/>
        </w:rPr>
      </w:pPr>
      <w:r>
        <w:rPr>
          <w:rFonts w:hint="eastAsia" w:ascii="宋体" w:hAnsi="宋体" w:cs="宋体"/>
          <w:b w:val="0"/>
          <w:bCs w:val="0"/>
          <w:color w:val="auto"/>
          <w:sz w:val="24"/>
          <w:szCs w:val="24"/>
        </w:rPr>
        <w:t xml:space="preserve">注</w:t>
      </w:r>
      <w:r>
        <w:rPr>
          <w:rFonts w:hint="eastAsia" w:ascii="宋体" w:hAnsi="宋体" w:cs="宋体"/>
          <w:b w:val="0"/>
          <w:bCs w:val="0"/>
          <w:color w:val="auto"/>
          <w:sz w:val="24"/>
          <w:szCs w:val="24"/>
          <w:lang w:eastAsia="zh-CN"/>
        </w:rPr>
        <w:t xml:space="preserve">：</w:t>
      </w:r>
      <w:r>
        <w:rPr>
          <w:rFonts w:hint="eastAsia" w:ascii="宋体" w:hAnsi="宋体" w:cs="宋体"/>
          <w:b w:val="0"/>
          <w:bCs w:val="0"/>
          <w:color w:val="auto"/>
          <w:sz w:val="24"/>
          <w:szCs w:val="24"/>
        </w:rPr>
        <w:t xml:space="preserve">1</w:t>
      </w:r>
      <w:r>
        <w:rPr>
          <w:rFonts w:hint="eastAsia" w:ascii="宋体" w:hAnsi="宋体" w:cs="宋体"/>
          <w:b w:val="0"/>
          <w:bCs w:val="0"/>
          <w:color w:val="auto"/>
          <w:sz w:val="24"/>
          <w:szCs w:val="24"/>
          <w:lang w:val="en-US" w:eastAsia="zh-CN"/>
        </w:rPr>
        <w:t xml:space="preserve">.</w:t>
      </w:r>
      <w:r>
        <w:rPr>
          <w:rFonts w:hint="eastAsia" w:ascii="宋体" w:hAnsi="宋体" w:cs="宋体"/>
          <w:b/>
          <w:bCs/>
          <w:color w:val="ff0000"/>
          <w:sz w:val="24"/>
          <w:szCs w:val="24"/>
        </w:rPr>
        <w:t xml:space="preserve">以上所有要求提供的证明材料在投标截止时间之前扫描件加盖公章</w:t>
      </w:r>
      <w:r>
        <w:rPr>
          <w:rFonts w:hint="eastAsia" w:ascii="宋体" w:hAnsi="宋体" w:cs="宋体"/>
          <w:b/>
          <w:bCs/>
          <w:color w:val="ff0000"/>
          <w:sz w:val="24"/>
          <w:szCs w:val="24"/>
          <w:lang w:eastAsia="zh-CN"/>
        </w:rPr>
        <w:t xml:space="preserve">（</w:t>
      </w:r>
      <w:r>
        <w:rPr>
          <w:rFonts w:hint="eastAsia" w:ascii="宋体" w:hAnsi="宋体" w:cs="宋体"/>
          <w:b/>
          <w:bCs/>
          <w:color w:val="ff0000"/>
          <w:sz w:val="24"/>
          <w:szCs w:val="24"/>
        </w:rPr>
        <w:t xml:space="preserve">电子公章</w:t>
      </w:r>
      <w:r>
        <w:rPr>
          <w:rFonts w:hint="eastAsia" w:ascii="宋体" w:hAnsi="宋体" w:cs="宋体"/>
          <w:b/>
          <w:bCs/>
          <w:color w:val="ff0000"/>
          <w:sz w:val="24"/>
          <w:szCs w:val="24"/>
          <w:lang w:eastAsia="zh-CN"/>
        </w:rPr>
        <w:t xml:space="preserve">）</w:t>
      </w:r>
      <w:r>
        <w:rPr>
          <w:rFonts w:hint="eastAsia" w:ascii="宋体" w:hAnsi="宋体" w:cs="宋体"/>
          <w:b/>
          <w:bCs/>
          <w:color w:val="ff0000"/>
          <w:sz w:val="24"/>
          <w:szCs w:val="24"/>
        </w:rPr>
        <w:t xml:space="preserve">上传</w:t>
      </w:r>
      <w:r>
        <w:rPr>
          <w:rFonts w:hint="eastAsia" w:ascii="宋体" w:hAnsi="宋体" w:cs="宋体"/>
          <w:b w:val="0"/>
          <w:bCs w:val="0"/>
          <w:color w:val="auto"/>
          <w:sz w:val="24"/>
          <w:szCs w:val="24"/>
        </w:rPr>
        <w:t xml:space="preserve">，用投标文件制作工具制作并生成上传至苏采云平台，纸质文件不作为审查对象。</w:t>
      </w:r>
      <w:r/>
    </w:p>
    <w:p>
      <w:pPr>
        <w:jc w:val="left"/>
        <w:keepLines w:val="0"/>
        <w:keepNext w:val="0"/>
        <w:pageBreakBefore w:val="0"/>
        <w:spacing w:line="360" w:lineRule="auto"/>
        <w:widowControl w:val="off"/>
        <w:rPr>
          <w:rFonts w:hint="eastAsia" w:ascii="宋体" w:hAnsi="宋体" w:cs="宋体"/>
          <w:b w:val="0"/>
          <w:bCs w:val="0"/>
          <w:color w:val="auto"/>
          <w:sz w:val="24"/>
          <w:szCs w:val="24"/>
        </w:rPr>
      </w:pPr>
      <w:r>
        <w:rPr>
          <w:rFonts w:hint="eastAsia" w:ascii="宋体" w:hAnsi="宋体" w:cs="宋体"/>
          <w:b w:val="0"/>
          <w:bCs w:val="0"/>
          <w:color w:val="auto"/>
          <w:sz w:val="24"/>
          <w:szCs w:val="24"/>
        </w:rPr>
        <w:t xml:space="preserve">2</w:t>
      </w:r>
      <w:r>
        <w:rPr>
          <w:rFonts w:hint="eastAsia" w:ascii="宋体" w:hAnsi="宋体" w:cs="宋体"/>
          <w:b w:val="0"/>
          <w:bCs w:val="0"/>
          <w:color w:val="auto"/>
          <w:sz w:val="24"/>
          <w:szCs w:val="24"/>
          <w:lang w:val="en-US" w:eastAsia="zh-CN"/>
        </w:rPr>
        <w:t xml:space="preserve">.</w:t>
      </w:r>
      <w:r>
        <w:rPr>
          <w:rFonts w:hint="eastAsia" w:ascii="宋体" w:hAnsi="宋体" w:cs="宋体"/>
          <w:b w:val="0"/>
          <w:bCs w:val="0"/>
          <w:color w:val="auto"/>
          <w:sz w:val="24"/>
          <w:szCs w:val="24"/>
        </w:rPr>
        <w:t xml:space="preserve">投标人所提供的资格证明材料应真实、有效，</w:t>
      </w:r>
      <w:r>
        <w:rPr>
          <w:rFonts w:hint="eastAsia" w:ascii="宋体" w:hAnsi="宋体" w:cs="宋体"/>
          <w:b w:val="0"/>
          <w:bCs w:val="0"/>
          <w:color w:val="auto"/>
          <w:sz w:val="24"/>
          <w:szCs w:val="24"/>
          <w:lang w:eastAsia="zh-CN"/>
        </w:rPr>
        <w:t xml:space="preserve">采购人</w:t>
      </w:r>
      <w:r>
        <w:rPr>
          <w:rFonts w:hint="eastAsia" w:ascii="宋体" w:hAnsi="宋体" w:cs="宋体"/>
          <w:b w:val="0"/>
          <w:bCs w:val="0"/>
          <w:color w:val="auto"/>
          <w:sz w:val="24"/>
          <w:szCs w:val="24"/>
        </w:rPr>
        <w:t xml:space="preserve">保留对投标人提供的资格证明材料进行核查的权利。如发现投标人提供虚假资格证明材料，履约保证金</w:t>
      </w:r>
      <w:r>
        <w:rPr>
          <w:rFonts w:hint="eastAsia" w:ascii="宋体" w:hAnsi="宋体" w:eastAsia="宋体" w:cs="宋体"/>
          <w:b w:val="0"/>
          <w:bCs w:val="0"/>
          <w:color w:val="auto"/>
          <w:sz w:val="24"/>
          <w:szCs w:val="24"/>
        </w:rPr>
        <w:t xml:space="preserve">将不予退</w:t>
      </w:r>
      <w:r>
        <w:rPr>
          <w:rFonts w:hint="eastAsia" w:ascii="宋体" w:hAnsi="宋体" w:cs="宋体"/>
          <w:b w:val="0"/>
          <w:bCs w:val="0"/>
          <w:color w:val="auto"/>
          <w:sz w:val="24"/>
          <w:szCs w:val="24"/>
        </w:rPr>
        <w:t xml:space="preserve">还，</w:t>
      </w:r>
      <w:r>
        <w:rPr>
          <w:rFonts w:hint="eastAsia" w:ascii="宋体" w:hAnsi="宋体" w:cs="宋体"/>
          <w:b w:val="0"/>
          <w:bCs w:val="0"/>
          <w:color w:val="auto"/>
          <w:sz w:val="24"/>
          <w:szCs w:val="24"/>
          <w:lang w:eastAsia="zh-CN"/>
        </w:rPr>
        <w:t xml:space="preserve">采购人</w:t>
      </w:r>
      <w:r>
        <w:rPr>
          <w:rFonts w:hint="eastAsia" w:ascii="宋体" w:hAnsi="宋体" w:cs="宋体"/>
          <w:b w:val="0"/>
          <w:bCs w:val="0"/>
          <w:color w:val="auto"/>
          <w:sz w:val="24"/>
          <w:szCs w:val="24"/>
        </w:rPr>
        <w:t xml:space="preserve">有权终止合同。</w:t>
      </w:r>
      <w:r/>
    </w:p>
    <w:p>
      <w:pPr>
        <w:jc w:val="center"/>
        <w:keepLines w:val="0"/>
        <w:keepNext w:val="0"/>
        <w:pageBreakBefore w:val="0"/>
        <w:spacing w:line="360" w:lineRule="auto"/>
        <w:widowControl w:val="off"/>
        <w:rPr>
          <w:rFonts w:hint="eastAsia" w:ascii="黑体" w:eastAsia="黑体"/>
          <w:bCs/>
          <w:color w:val="000000"/>
          <w:sz w:val="44"/>
          <w:szCs w:val="28"/>
        </w:rPr>
      </w:pPr>
      <w:r>
        <w:rPr>
          <w:rFonts w:hint="eastAsia" w:ascii="黑体" w:eastAsia="黑体"/>
          <w:bCs/>
          <w:color w:val="000000"/>
          <w:sz w:val="44"/>
          <w:szCs w:val="28"/>
        </w:rPr>
        <w:br w:type="page" w:clear="all"/>
      </w:r>
      <w:r>
        <w:rPr>
          <w:rFonts w:hint="eastAsia" w:ascii="黑体" w:eastAsia="黑体"/>
          <w:bCs/>
          <w:color w:val="000000"/>
          <w:sz w:val="44"/>
          <w:szCs w:val="28"/>
        </w:rPr>
        <w:t xml:space="preserve">第六章  投标</w:t>
      </w:r>
      <w:bookmarkEnd w:id="182"/>
      <w:r/>
      <w:bookmarkEnd w:id="183"/>
      <w:r/>
      <w:bookmarkEnd w:id="184"/>
      <w:r>
        <w:rPr>
          <w:rFonts w:hint="eastAsia" w:ascii="黑体" w:eastAsia="黑体"/>
          <w:bCs/>
          <w:color w:val="000000"/>
          <w:sz w:val="44"/>
          <w:szCs w:val="28"/>
        </w:rPr>
        <w:t xml:space="preserve">文件格式</w:t>
      </w:r>
      <w:r/>
    </w:p>
    <w:p>
      <w:pPr>
        <w:jc w:val="center"/>
        <w:rPr>
          <w:rFonts w:hint="eastAsia" w:ascii="宋体" w:hAnsi="宋体"/>
          <w:b/>
          <w:color w:val="000000"/>
          <w:sz w:val="72"/>
          <w:szCs w:val="21"/>
        </w:rPr>
      </w:pPr>
      <w:r/>
      <w:bookmarkStart w:id="185" w:name="_Hlt26671244"/>
      <w:r/>
      <w:bookmarkEnd w:id="185"/>
      <w:r/>
      <w:bookmarkStart w:id="186" w:name="_Hlt26955039"/>
      <w:r/>
      <w:bookmarkEnd w:id="186"/>
      <w:r/>
      <w:bookmarkStart w:id="187" w:name="_Toc49090576"/>
      <w:r/>
      <w:bookmarkStart w:id="188" w:name="_Toc26554094"/>
      <w:r/>
      <w:bookmarkStart w:id="189" w:name="_Toc120614282"/>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0"/>
        <w:rPr>
          <w:rFonts w:hint="default"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ind w:firstLine="1080"/>
        <w:rPr>
          <w:rFonts w:hint="default"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hint="default"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jc w:val="center"/>
        <w:rPr>
          <w:rFonts w:hint="eastAsia"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投标文件的</w:t>
      </w:r>
      <w:r>
        <w:rPr>
          <w:rFonts w:ascii="宋体" w:hAnsi="宋体"/>
          <w:b/>
          <w:bCs/>
          <w:sz w:val="32"/>
          <w:szCs w:val="32"/>
        </w:rPr>
        <w:t xml:space="preserve">组成</w:t>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p>
    <w:p>
      <w:pPr>
        <w:ind w:firstLine="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rPr>
        <w:t xml:space="preserve">5.投标函（格式</w:t>
      </w:r>
      <w:r>
        <w:rPr>
          <w:rFonts w:ascii="宋体" w:hAnsi="宋体"/>
          <w:sz w:val="24"/>
          <w:szCs w:val="21"/>
        </w:rPr>
        <w:t xml:space="preserve">见附件</w:t>
      </w:r>
      <w:r>
        <w:rPr>
          <w:rFonts w:hint="eastAsia" w:ascii="宋体" w:hAnsi="宋体"/>
          <w:sz w:val="24"/>
          <w:szCs w:val="21"/>
          <w:lang w:val="en-US" w:eastAsia="zh-CN"/>
        </w:rPr>
        <w:t xml:space="preserve">5</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lang w:val="en-US" w:eastAsia="zh-CN"/>
        </w:rPr>
        <w:t xml:space="preserve">6.</w:t>
      </w:r>
      <w:r>
        <w:rPr>
          <w:rFonts w:hint="eastAsia" w:ascii="宋体" w:hAnsi="宋体"/>
          <w:sz w:val="24"/>
          <w:szCs w:val="21"/>
        </w:rPr>
        <w:t xml:space="preserve">实质性要求响应及偏离表（格式</w:t>
      </w:r>
      <w:r>
        <w:rPr>
          <w:rFonts w:ascii="宋体" w:hAnsi="宋体"/>
          <w:sz w:val="24"/>
          <w:szCs w:val="21"/>
        </w:rPr>
        <w:t xml:space="preserve">见附件</w:t>
      </w:r>
      <w:r>
        <w:rPr>
          <w:rFonts w:hint="eastAsia" w:ascii="宋体" w:hAnsi="宋体"/>
          <w:sz w:val="24"/>
          <w:szCs w:val="21"/>
          <w:lang w:val="en-US" w:eastAsia="zh-CN"/>
        </w:rPr>
        <w:t xml:space="preserve">6</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lang w:val="en-US" w:eastAsia="zh-CN"/>
        </w:rPr>
        <w:t xml:space="preserve">7.</w:t>
      </w:r>
      <w:r>
        <w:rPr>
          <w:rFonts w:hint="eastAsia" w:ascii="宋体" w:hAnsi="宋体"/>
          <w:sz w:val="24"/>
          <w:szCs w:val="21"/>
        </w:rPr>
        <w:t xml:space="preserve">关于符合本国产品标准的声明函（格式</w:t>
      </w:r>
      <w:r>
        <w:rPr>
          <w:rFonts w:ascii="宋体" w:hAnsi="宋体"/>
          <w:sz w:val="24"/>
          <w:szCs w:val="21"/>
        </w:rPr>
        <w:t xml:space="preserve">见附件</w:t>
      </w:r>
      <w:r>
        <w:rPr>
          <w:rFonts w:hint="eastAsia" w:ascii="宋体" w:hAnsi="宋体"/>
          <w:sz w:val="24"/>
          <w:szCs w:val="21"/>
          <w:lang w:val="en-US" w:eastAsia="zh-CN"/>
        </w:rPr>
        <w:t xml:space="preserve">7</w:t>
      </w:r>
      <w:r>
        <w:rPr>
          <w:rFonts w:hint="eastAsia" w:ascii="宋体" w:hAnsi="宋体"/>
          <w:sz w:val="24"/>
          <w:szCs w:val="21"/>
        </w:rPr>
        <w:t xml:space="preserve">）</w:t>
      </w:r>
      <w:r/>
    </w:p>
    <w:p>
      <w:pPr>
        <w:ind w:firstLine="480"/>
        <w:spacing w:line="400" w:lineRule="exact"/>
        <w:rPr>
          <w:rFonts w:hint="eastAsia" w:ascii="宋体" w:hAnsi="宋体"/>
          <w:sz w:val="24"/>
          <w:szCs w:val="21"/>
          <w:lang w:val="en-US" w:eastAsia="zh-CN"/>
        </w:rPr>
      </w:pPr>
      <w:r>
        <w:rPr>
          <w:rFonts w:hint="eastAsia" w:ascii="宋体" w:hAnsi="宋体"/>
          <w:sz w:val="24"/>
          <w:szCs w:val="21"/>
          <w:lang w:val="en-US" w:eastAsia="zh-CN"/>
        </w:rPr>
        <w:t xml:space="preserve">8.投标人基本信息</w:t>
      </w:r>
      <w:r>
        <w:rPr>
          <w:rFonts w:hint="eastAsia" w:ascii="宋体" w:hAnsi="宋体"/>
          <w:sz w:val="24"/>
          <w:szCs w:val="21"/>
        </w:rPr>
        <w:t xml:space="preserve">（格式</w:t>
      </w:r>
      <w:r>
        <w:rPr>
          <w:rFonts w:ascii="宋体" w:hAnsi="宋体"/>
          <w:sz w:val="24"/>
          <w:szCs w:val="21"/>
        </w:rPr>
        <w:t xml:space="preserve">见附件</w:t>
      </w:r>
      <w:r>
        <w:rPr>
          <w:rFonts w:hint="eastAsia" w:ascii="宋体" w:hAnsi="宋体"/>
          <w:sz w:val="24"/>
          <w:szCs w:val="21"/>
          <w:lang w:val="en-US" w:eastAsia="zh-CN"/>
        </w:rPr>
        <w:t xml:space="preserve">8</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lang w:val="en-US" w:eastAsia="zh-CN"/>
        </w:rPr>
        <w:t xml:space="preserve">9.类似项目业绩情况表</w:t>
      </w:r>
      <w:r>
        <w:rPr>
          <w:rFonts w:hint="eastAsia" w:ascii="宋体" w:hAnsi="宋体"/>
          <w:sz w:val="24"/>
          <w:szCs w:val="21"/>
        </w:rPr>
        <w:t xml:space="preserve">（格式</w:t>
      </w:r>
      <w:r>
        <w:rPr>
          <w:rFonts w:ascii="宋体" w:hAnsi="宋体"/>
          <w:sz w:val="24"/>
          <w:szCs w:val="21"/>
        </w:rPr>
        <w:t xml:space="preserve">见附件</w:t>
      </w:r>
      <w:r>
        <w:rPr>
          <w:rFonts w:hint="eastAsia" w:ascii="宋体" w:hAnsi="宋体"/>
          <w:sz w:val="24"/>
          <w:szCs w:val="21"/>
          <w:lang w:val="en-US" w:eastAsia="zh-CN"/>
        </w:rPr>
        <w:t xml:space="preserve">9</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lang w:val="en-US" w:eastAsia="zh-CN"/>
        </w:rPr>
        <w:t xml:space="preserve">10.</w:t>
      </w:r>
      <w:r>
        <w:rPr>
          <w:rFonts w:hint="eastAsia" w:ascii="宋体" w:hAnsi="宋体"/>
          <w:sz w:val="24"/>
          <w:szCs w:val="21"/>
        </w:rPr>
        <w:t xml:space="preserve">服务承诺（格式由投标人自定、加盖投标人公章）</w:t>
      </w:r>
      <w:r/>
    </w:p>
    <w:p>
      <w:pPr>
        <w:ind w:firstLine="480"/>
        <w:spacing w:line="400" w:lineRule="exact"/>
        <w:rPr>
          <w:rFonts w:hint="eastAsia" w:ascii="宋体" w:hAnsi="宋体"/>
          <w:sz w:val="24"/>
          <w:szCs w:val="21"/>
          <w:lang w:val="en-US" w:eastAsia="zh-CN"/>
        </w:rPr>
      </w:pPr>
      <w:r>
        <w:rPr>
          <w:rFonts w:hint="eastAsia" w:ascii="宋体" w:hAnsi="宋体"/>
          <w:sz w:val="24"/>
          <w:szCs w:val="21"/>
          <w:lang w:val="en-US" w:eastAsia="zh-CN"/>
        </w:rPr>
        <w:t xml:space="preserve">11.资质审查时投标人必须提交的资格证明文件</w:t>
      </w:r>
      <w:r>
        <w:rPr>
          <w:rFonts w:hint="eastAsia" w:ascii="宋体" w:hAnsi="宋体"/>
          <w:b/>
          <w:bCs/>
          <w:sz w:val="24"/>
          <w:szCs w:val="21"/>
          <w:lang w:val="en-US" w:eastAsia="zh-CN"/>
        </w:rPr>
        <w:t xml:space="preserve">（以下列第二条“资格审查内容”要求提交的资格证明文件为准）</w:t>
      </w:r>
      <w:r/>
    </w:p>
    <w:p>
      <w:pPr>
        <w:ind w:firstLine="480"/>
        <w:spacing w:line="400" w:lineRule="exact"/>
        <w:rPr>
          <w:rFonts w:hint="eastAsia" w:ascii="宋体" w:hAnsi="宋体"/>
          <w:sz w:val="24"/>
          <w:szCs w:val="21"/>
          <w:lang w:val="en-US" w:eastAsia="zh-CN"/>
        </w:rPr>
      </w:pPr>
      <w:r>
        <w:rPr>
          <w:rFonts w:hint="eastAsia" w:ascii="宋体" w:hAnsi="宋体"/>
          <w:sz w:val="24"/>
          <w:szCs w:val="21"/>
          <w:lang w:val="en-US" w:eastAsia="zh-CN"/>
        </w:rPr>
        <w:t xml:space="preserve">12.涉及无效投标文件条款中投标人必须提供的证明文件（投标人参加投标时，按照招标文件相关要求提供材料）</w:t>
      </w:r>
      <w:r/>
    </w:p>
    <w:p>
      <w:pPr>
        <w:ind w:firstLine="480"/>
        <w:spacing w:line="400" w:lineRule="exact"/>
        <w:rPr>
          <w:rFonts w:hint="eastAsia" w:ascii="宋体" w:hAnsi="宋体"/>
          <w:sz w:val="24"/>
          <w:szCs w:val="21"/>
          <w:lang w:val="en-US" w:eastAsia="zh-CN"/>
        </w:rPr>
      </w:pPr>
      <w:r>
        <w:rPr>
          <w:rFonts w:hint="eastAsia" w:ascii="宋体" w:hAnsi="宋体"/>
          <w:sz w:val="24"/>
          <w:szCs w:val="21"/>
          <w:lang w:val="en-US" w:eastAsia="zh-CN"/>
        </w:rPr>
        <w:t xml:space="preserve">13.最终价格评审时投标人需提供的证明文件（请投标人仔细阅读招标文件 评标办法及评分细则）</w:t>
      </w:r>
      <w:r/>
    </w:p>
    <w:p>
      <w:pPr>
        <w:ind w:firstLine="480"/>
        <w:spacing w:line="400" w:lineRule="exact"/>
        <w:rPr>
          <w:rFonts w:hint="default" w:ascii="宋体" w:hAnsi="宋体"/>
          <w:sz w:val="24"/>
          <w:szCs w:val="21"/>
          <w:lang w:val="en-US" w:eastAsia="zh-CN"/>
        </w:rPr>
      </w:pPr>
      <w:r>
        <w:rPr>
          <w:rFonts w:hint="eastAsia" w:ascii="宋体" w:hAnsi="宋体"/>
          <w:sz w:val="24"/>
          <w:szCs w:val="21"/>
          <w:lang w:val="en-US" w:eastAsia="zh-CN"/>
        </w:rPr>
        <w:t xml:space="preserve">14.投标人认为有必要提供并说明的其他资料（格式由投标人自定，加盖投标人公章）</w:t>
      </w:r>
      <w:r/>
    </w:p>
    <w:p>
      <w:pPr>
        <w:numPr>
          <w:ilvl w:val="0"/>
          <w:numId w:val="9"/>
        </w:numPr>
        <w:ind w:left="480"/>
        <w:spacing w:line="400" w:lineRule="exact"/>
        <w:rPr>
          <w:rFonts w:ascii="宋体" w:hAnsi="宋体"/>
          <w:b/>
          <w:sz w:val="24"/>
          <w:szCs w:val="21"/>
        </w:rPr>
      </w:pPr>
      <w:r>
        <w:rPr>
          <w:rFonts w:ascii="宋体" w:hAnsi="宋体"/>
          <w:b/>
          <w:sz w:val="24"/>
          <w:szCs w:val="21"/>
        </w:rPr>
        <w:t xml:space="preserve">资格审查内容</w:t>
      </w:r>
      <w:r/>
    </w:p>
    <w:p>
      <w:pPr>
        <w:ind w:left="480"/>
        <w:spacing w:line="400" w:lineRule="exact"/>
        <w:rPr>
          <w:rFonts w:hint="eastAsia" w:ascii="宋体" w:hAnsi="宋体" w:eastAsia="宋体"/>
          <w:sz w:val="24"/>
          <w:szCs w:val="21"/>
          <w:lang w:eastAsia="zh-CN"/>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符合《中华人民共和国政府采购法》第二十二条规定的六项条件</w:t>
      </w:r>
      <w:r>
        <w:rPr>
          <w:rFonts w:hint="eastAsia" w:ascii="宋体" w:hAnsi="宋体"/>
          <w:sz w:val="24"/>
          <w:szCs w:val="21"/>
          <w:lang w:eastAsia="zh-CN"/>
        </w:rPr>
        <w:t xml:space="preserve">；</w:t>
      </w:r>
      <w:r>
        <w:rPr>
          <w:rFonts w:hint="eastAsia" w:ascii="宋体" w:hAnsi="宋体" w:cs="宋体"/>
          <w:b/>
          <w:bCs/>
          <w:color w:val="auto"/>
          <w:sz w:val="24"/>
        </w:rPr>
        <w:t xml:space="preserve">（承诺制，详见</w:t>
      </w:r>
      <w:r>
        <w:rPr>
          <w:rFonts w:hint="eastAsia" w:ascii="宋体" w:hAnsi="宋体" w:cs="宋体"/>
          <w:b/>
          <w:bCs/>
          <w:color w:val="auto"/>
          <w:sz w:val="24"/>
          <w:lang w:eastAsia="zh-CN"/>
        </w:rPr>
        <w:t xml:space="preserve">示范格式</w:t>
      </w:r>
      <w:r>
        <w:rPr>
          <w:rFonts w:hint="eastAsia" w:ascii="宋体" w:hAnsi="宋体" w:cs="宋体"/>
          <w:b/>
          <w:bCs/>
          <w:color w:val="auto"/>
          <w:sz w:val="24"/>
        </w:rPr>
        <w:t xml:space="preserve">）</w:t>
      </w:r>
      <w:r/>
    </w:p>
    <w:p>
      <w:pPr>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拒绝符合下述条件的供应商参加本次采购活动</w:t>
      </w:r>
      <w:r>
        <w:rPr>
          <w:rFonts w:hint="eastAsia" w:ascii="宋体" w:hAnsi="宋体" w:cs="宋体"/>
          <w:b/>
          <w:color w:val="auto"/>
          <w:sz w:val="24"/>
        </w:rPr>
        <w:t xml:space="preserve">（</w:t>
      </w:r>
      <w:r>
        <w:rPr>
          <w:rFonts w:hint="eastAsia" w:ascii="宋体" w:hAnsi="宋体" w:cs="宋体"/>
          <w:b/>
          <w:bCs/>
          <w:color w:val="auto"/>
          <w:sz w:val="24"/>
        </w:rPr>
        <w:t xml:space="preserve">承诺制，详见</w:t>
      </w:r>
      <w:r>
        <w:rPr>
          <w:rFonts w:hint="eastAsia" w:ascii="宋体" w:hAnsi="宋体" w:cs="宋体"/>
          <w:b/>
          <w:bCs/>
          <w:color w:val="auto"/>
          <w:sz w:val="24"/>
          <w:lang w:eastAsia="zh-CN"/>
        </w:rPr>
        <w:t xml:space="preserve">示范格式</w:t>
      </w:r>
      <w:r>
        <w:rPr>
          <w:rFonts w:hint="eastAsia" w:ascii="宋体" w:hAnsi="宋体" w:cs="宋体"/>
          <w:b/>
          <w:color w:val="auto"/>
          <w:sz w:val="24"/>
        </w:rPr>
        <w:t xml:space="preserve">）</w:t>
      </w:r>
      <w:r>
        <w:rPr>
          <w:rFonts w:hint="eastAsia" w:ascii="宋体" w:hAnsi="宋体"/>
          <w:sz w:val="24"/>
          <w:szCs w:val="21"/>
        </w:rPr>
        <w:t xml:space="preserve">：</w:t>
      </w:r>
      <w:r/>
    </w:p>
    <w:p>
      <w:pPr>
        <w:ind w:left="480"/>
        <w:spacing w:line="400" w:lineRule="exact"/>
        <w:rPr>
          <w:rFonts w:hint="eastAsia" w:ascii="宋体" w:hAnsi="宋体"/>
          <w:sz w:val="24"/>
          <w:szCs w:val="21"/>
        </w:rPr>
      </w:pPr>
      <w:r>
        <w:rPr>
          <w:rFonts w:hint="eastAsia" w:ascii="宋体" w:hAnsi="宋体"/>
          <w:sz w:val="24"/>
          <w:szCs w:val="21"/>
        </w:rPr>
        <w:t xml:space="preserve">（1）供应商单位负责人为同一人或者存在直接控股、管理关系的不同供应商，不得同时参加同一合同项下的政府采购活动；</w:t>
      </w:r>
      <w:r/>
    </w:p>
    <w:p>
      <w:pPr>
        <w:ind w:left="480"/>
        <w:spacing w:line="400" w:lineRule="exact"/>
        <w:rPr>
          <w:rFonts w:hint="eastAsia" w:ascii="宋体" w:hAnsi="宋体"/>
          <w:sz w:val="24"/>
          <w:szCs w:val="21"/>
        </w:rPr>
      </w:pPr>
      <w:r>
        <w:rPr>
          <w:rFonts w:hint="eastAsia" w:ascii="宋体" w:hAnsi="宋体"/>
          <w:sz w:val="24"/>
          <w:szCs w:val="21"/>
        </w:rPr>
        <w:t xml:space="preserve">（2）凡为采购项目提供整体设计、规范编制或者项目管理、监理、检测等服务的供应商，不得再参加本项目的采购活动； </w:t>
      </w:r>
      <w:r/>
    </w:p>
    <w:p>
      <w:pPr>
        <w:ind w:left="480"/>
        <w:spacing w:line="400" w:lineRule="exact"/>
        <w:rPr>
          <w:rFonts w:hint="eastAsia" w:ascii="宋体" w:hAnsi="宋体"/>
          <w:sz w:val="24"/>
          <w:szCs w:val="21"/>
        </w:rPr>
      </w:pPr>
      <w:r>
        <w:rPr>
          <w:rFonts w:hint="eastAsia" w:ascii="宋体" w:hAnsi="宋体"/>
          <w:sz w:val="24"/>
          <w:szCs w:val="21"/>
        </w:rPr>
        <w:t xml:space="preserve">（3）列入失信被执行人、重大税收违法案件当事人名单、政府采购严重违法失信行为记录名单中的供应商不得参加本项目的采购活动。</w:t>
      </w:r>
      <w:r/>
    </w:p>
    <w:p>
      <w:pPr>
        <w:ind w:left="480"/>
        <w:spacing w:line="400" w:lineRule="exact"/>
        <w:rPr>
          <w:rFonts w:hint="eastAsia"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供应商提供下列之一</w:t>
      </w:r>
      <w:r/>
    </w:p>
    <w:p>
      <w:pPr>
        <w:ind w:left="480"/>
        <w:spacing w:line="400" w:lineRule="exact"/>
        <w:rPr>
          <w:rFonts w:hint="eastAsia" w:ascii="宋体" w:hAnsi="宋体"/>
          <w:sz w:val="24"/>
          <w:szCs w:val="21"/>
        </w:rPr>
      </w:pPr>
      <w:r>
        <w:rPr>
          <w:rFonts w:hint="eastAsia" w:ascii="宋体" w:hAnsi="宋体"/>
          <w:sz w:val="24"/>
          <w:szCs w:val="21"/>
        </w:rPr>
        <w:t xml:space="preserve">（1）供应商法定代表人参加投标的，提供法定代表人资格证明</w:t>
      </w:r>
      <w:r>
        <w:rPr>
          <w:rFonts w:hint="eastAsia" w:ascii="宋体" w:hAnsi="宋体"/>
          <w:b/>
          <w:bCs/>
          <w:sz w:val="24"/>
          <w:szCs w:val="21"/>
        </w:rPr>
        <w:t xml:space="preserve">（按照示范格式要求）</w:t>
      </w:r>
      <w:r>
        <w:rPr>
          <w:rFonts w:hint="eastAsia" w:ascii="宋体" w:hAnsi="宋体"/>
          <w:sz w:val="24"/>
          <w:szCs w:val="21"/>
        </w:rPr>
        <w:t xml:space="preserve">和法定代表人身份证</w:t>
      </w:r>
      <w:r>
        <w:rPr>
          <w:rFonts w:hint="eastAsia" w:ascii="宋体" w:hAnsi="宋体" w:eastAsia="宋体" w:cs="宋体"/>
          <w:b/>
          <w:bCs/>
          <w:color w:val="auto"/>
          <w:sz w:val="24"/>
        </w:rPr>
        <w:t xml:space="preserve">（身份证原件扫描件加盖公章）</w:t>
      </w:r>
      <w:r>
        <w:rPr>
          <w:rFonts w:hint="eastAsia" w:ascii="宋体" w:hAnsi="宋体"/>
          <w:sz w:val="24"/>
          <w:szCs w:val="21"/>
        </w:rPr>
        <w:t xml:space="preserve">。</w:t>
      </w:r>
      <w:r/>
    </w:p>
    <w:p>
      <w:pPr>
        <w:ind w:left="480"/>
        <w:spacing w:line="400" w:lineRule="exact"/>
        <w:rPr>
          <w:rFonts w:hint="eastAsia" w:ascii="宋体" w:hAnsi="宋体"/>
          <w:sz w:val="24"/>
          <w:szCs w:val="21"/>
        </w:rPr>
      </w:pPr>
      <w:r>
        <w:rPr>
          <w:rFonts w:hint="eastAsia" w:ascii="宋体" w:hAnsi="宋体"/>
          <w:sz w:val="24"/>
          <w:szCs w:val="21"/>
        </w:rPr>
        <w:t xml:space="preserve">（2）供应商授权委托人参加投标的，提供</w:t>
      </w:r>
      <w:r>
        <w:rPr>
          <w:rFonts w:hint="eastAsia" w:ascii="宋体" w:hAnsi="宋体"/>
          <w:sz w:val="24"/>
          <w:szCs w:val="21"/>
          <w:lang w:val="en-US" w:eastAsia="zh-CN"/>
        </w:rPr>
        <w:t xml:space="preserve">法人</w:t>
      </w:r>
      <w:r>
        <w:rPr>
          <w:rFonts w:hint="eastAsia" w:ascii="宋体" w:hAnsi="宋体"/>
          <w:sz w:val="24"/>
          <w:szCs w:val="21"/>
        </w:rPr>
        <w:t xml:space="preserve">授权书</w:t>
      </w:r>
      <w:r>
        <w:rPr>
          <w:rFonts w:hint="eastAsia" w:ascii="宋体" w:hAnsi="宋体"/>
          <w:b/>
          <w:bCs/>
          <w:sz w:val="24"/>
          <w:szCs w:val="21"/>
        </w:rPr>
        <w:t xml:space="preserve">（按照示范格式要求）</w:t>
      </w:r>
      <w:r>
        <w:rPr>
          <w:rFonts w:hint="eastAsia" w:ascii="宋体" w:hAnsi="宋体"/>
          <w:sz w:val="24"/>
          <w:szCs w:val="21"/>
        </w:rPr>
        <w:t xml:space="preserve">和受托人身份证</w:t>
      </w:r>
      <w:r>
        <w:rPr>
          <w:rFonts w:hint="eastAsia" w:ascii="宋体" w:hAnsi="宋体" w:eastAsia="宋体" w:cs="宋体"/>
          <w:b/>
          <w:bCs/>
          <w:color w:val="auto"/>
          <w:sz w:val="24"/>
        </w:rPr>
        <w:t xml:space="preserve">（身份证原件扫描件加盖公章）</w:t>
      </w:r>
      <w:r>
        <w:rPr>
          <w:rFonts w:hint="eastAsia" w:ascii="宋体" w:hAnsi="宋体"/>
          <w:sz w:val="24"/>
          <w:szCs w:val="21"/>
        </w:rPr>
        <w:t xml:space="preserve">。</w:t>
      </w:r>
      <w:r/>
    </w:p>
    <w:p>
      <w:pPr>
        <w:ind w:left="480"/>
        <w:spacing w:line="400" w:lineRule="exact"/>
        <w:rPr>
          <w:rFonts w:hint="eastAsia" w:ascii="宋体" w:hAnsi="宋体"/>
          <w:sz w:val="24"/>
          <w:szCs w:val="21"/>
        </w:rPr>
      </w:pPr>
      <w:r>
        <w:rPr>
          <w:rFonts w:hint="eastAsia" w:ascii="宋体" w:hAnsi="宋体"/>
          <w:sz w:val="24"/>
          <w:szCs w:val="21"/>
          <w:lang w:val="en-US" w:eastAsia="zh-CN"/>
        </w:rPr>
        <w:t xml:space="preserve">4</w:t>
      </w:r>
      <w:r>
        <w:rPr>
          <w:rFonts w:hint="eastAsia" w:ascii="宋体" w:hAnsi="宋体"/>
          <w:sz w:val="24"/>
          <w:szCs w:val="21"/>
        </w:rPr>
        <w:t xml:space="preserve">.中小微企业声明函（如果本项目</w:t>
      </w:r>
      <w:r>
        <w:rPr>
          <w:rFonts w:ascii="宋体" w:hAnsi="宋体"/>
          <w:sz w:val="24"/>
          <w:szCs w:val="21"/>
        </w:rPr>
        <w:t xml:space="preserve">专门面向中小微型企业采购，则必须提供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见示范格式5）</w:t>
      </w:r>
      <w:r/>
    </w:p>
    <w:p>
      <w:pPr>
        <w:ind w:left="480"/>
        <w:spacing w:line="400" w:lineRule="exact"/>
        <w:rPr>
          <w:rFonts w:hint="default" w:ascii="宋体" w:hAnsi="宋体" w:eastAsia="宋体"/>
          <w:sz w:val="24"/>
          <w:szCs w:val="21"/>
          <w:lang w:val="en-US" w:eastAsia="zh-CN"/>
        </w:rPr>
      </w:pPr>
      <w:r>
        <w:rPr>
          <w:rFonts w:hint="eastAsia" w:ascii="宋体" w:hAnsi="宋体"/>
          <w:sz w:val="24"/>
          <w:szCs w:val="21"/>
          <w:lang w:val="en-US" w:eastAsia="zh-CN"/>
        </w:rPr>
        <w:t xml:space="preserve">5.</w:t>
      </w:r>
      <w:r>
        <w:rPr>
          <w:rFonts w:hint="eastAsia" w:ascii="宋体" w:hAnsi="宋体"/>
          <w:sz w:val="24"/>
          <w:szCs w:val="21"/>
        </w:rPr>
        <w:t xml:space="preserve">残疾人福利性单位声明函（如果本项目</w:t>
      </w:r>
      <w:r>
        <w:rPr>
          <w:rFonts w:ascii="宋体" w:hAnsi="宋体"/>
          <w:sz w:val="24"/>
          <w:szCs w:val="21"/>
        </w:rPr>
        <w:t xml:space="preserve">专门面向中小微型企业采购，</w:t>
      </w:r>
      <w:r>
        <w:rPr>
          <w:rFonts w:hint="eastAsia" w:ascii="宋体" w:hAnsi="宋体"/>
          <w:sz w:val="24"/>
          <w:szCs w:val="21"/>
        </w:rPr>
        <w:t xml:space="preserve">供应商为</w:t>
      </w:r>
      <w:r>
        <w:rPr>
          <w:rFonts w:ascii="宋体" w:hAnsi="宋体"/>
          <w:sz w:val="24"/>
          <w:szCs w:val="21"/>
        </w:rPr>
        <w:t xml:space="preserve">残疾人福利性单位并</w:t>
      </w:r>
      <w:r>
        <w:rPr>
          <w:rFonts w:hint="eastAsia" w:ascii="宋体" w:hAnsi="宋体"/>
          <w:sz w:val="24"/>
          <w:szCs w:val="21"/>
        </w:rPr>
        <w:t xml:space="preserve">提供本单位制造的货物，或者提供其他残疾人福利性单位制造的货物，</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见示范格式</w:t>
      </w:r>
      <w:r>
        <w:rPr>
          <w:rFonts w:hint="eastAsia" w:ascii="宋体" w:hAnsi="宋体"/>
          <w:sz w:val="24"/>
          <w:szCs w:val="21"/>
          <w:lang w:val="en-US" w:eastAsia="zh-CN"/>
        </w:rPr>
        <w:t xml:space="preserve">6</w:t>
      </w:r>
      <w:r>
        <w:rPr>
          <w:rFonts w:hint="eastAsia" w:ascii="宋体" w:hAnsi="宋体"/>
          <w:sz w:val="24"/>
          <w:szCs w:val="21"/>
        </w:rPr>
        <w:t xml:space="preserve">）</w:t>
      </w:r>
      <w:r/>
    </w:p>
    <w:p>
      <w:pPr>
        <w:ind w:left="480"/>
        <w:spacing w:line="400" w:lineRule="exact"/>
        <w:rPr>
          <w:rFonts w:hint="eastAsia" w:ascii="宋体" w:hAnsi="宋体"/>
          <w:sz w:val="24"/>
          <w:szCs w:val="21"/>
        </w:rPr>
      </w:pPr>
      <w:r>
        <w:rPr>
          <w:rFonts w:hint="eastAsia" w:ascii="宋体" w:hAnsi="宋体"/>
          <w:sz w:val="24"/>
          <w:szCs w:val="21"/>
          <w:lang w:val="en-US" w:eastAsia="zh-CN"/>
        </w:rPr>
        <w:t xml:space="preserve">6.</w:t>
      </w:r>
      <w:r>
        <w:rPr>
          <w:rFonts w:hint="eastAsia" w:ascii="宋体" w:hAnsi="宋体"/>
          <w:sz w:val="24"/>
          <w:szCs w:val="21"/>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w:t>
      </w:r>
      <w:r>
        <w:rPr>
          <w:rFonts w:hint="eastAsia" w:ascii="宋体" w:hAnsi="宋体"/>
          <w:b/>
          <w:bCs/>
          <w:sz w:val="24"/>
          <w:szCs w:val="21"/>
        </w:rPr>
        <w:t xml:space="preserve">（投标文件中无需提供证明材料）</w:t>
      </w:r>
      <w:r/>
    </w:p>
    <w:p>
      <w:pPr>
        <w:ind w:firstLine="480"/>
        <w:spacing w:line="400" w:lineRule="exact"/>
        <w:rPr>
          <w:rFonts w:hint="eastAsia" w:ascii="宋体" w:hAnsi="宋体" w:eastAsia="宋体" w:cs="Times New Roman"/>
          <w:sz w:val="24"/>
          <w:szCs w:val="21"/>
          <w:lang w:val="en-US" w:eastAsia="zh-CN"/>
        </w:rPr>
      </w:pPr>
      <w:r>
        <w:rPr>
          <w:rFonts w:hint="eastAsia" w:ascii="宋体" w:hAnsi="宋体"/>
          <w:sz w:val="24"/>
          <w:szCs w:val="21"/>
          <w:lang w:val="en-US" w:eastAsia="zh-CN"/>
        </w:rPr>
        <w:t xml:space="preserve">7.本项目不接受联合体投标。</w:t>
      </w:r>
      <w:r>
        <w:rPr>
          <w:rFonts w:hint="eastAsia" w:ascii="宋体" w:hAnsi="宋体"/>
          <w:b/>
          <w:bCs/>
          <w:sz w:val="24"/>
          <w:szCs w:val="21"/>
        </w:rPr>
        <w:t xml:space="preserve">（投标文件中无需提供证明材料）</w:t>
      </w:r>
      <w:r/>
    </w:p>
    <w:p>
      <w:pPr>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hint="eastAsia" w:ascii="宋体" w:hAnsi="宋体"/>
          <w:b/>
          <w:bCs/>
          <w:sz w:val="24"/>
          <w:szCs w:val="21"/>
        </w:rPr>
        <w:t xml:space="preserve">加*号条款</w:t>
      </w:r>
      <w:r>
        <w:rPr>
          <w:rFonts w:ascii="宋体" w:hAnsi="宋体"/>
          <w:sz w:val="24"/>
          <w:szCs w:val="21"/>
        </w:rPr>
        <w:t xml:space="preserve">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，否则作无效投标处理。（格式见</w:t>
      </w:r>
      <w:r>
        <w:rPr>
          <w:rFonts w:ascii="宋体" w:hAnsi="宋体"/>
          <w:sz w:val="24"/>
          <w:szCs w:val="21"/>
        </w:rPr>
        <w:t xml:space="preserve">附件</w:t>
      </w:r>
      <w:r>
        <w:rPr>
          <w:rFonts w:hint="eastAsia" w:ascii="宋体" w:hAnsi="宋体"/>
          <w:sz w:val="24"/>
          <w:szCs w:val="21"/>
          <w:lang w:val="en-US" w:eastAsia="zh-CN"/>
        </w:rPr>
        <w:t xml:space="preserve">6</w:t>
      </w:r>
      <w:r>
        <w:rPr>
          <w:rFonts w:hint="eastAsia" w:ascii="宋体" w:hAnsi="宋体"/>
          <w:sz w:val="24"/>
          <w:szCs w:val="21"/>
        </w:rPr>
        <w:t xml:space="preserve">）</w:t>
      </w:r>
      <w:r/>
    </w:p>
    <w:p>
      <w:pPr>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p>
    <w:p>
      <w:pPr>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hint="eastAsia" w:ascii="宋体" w:hAnsi="宋体"/>
          <w:sz w:val="24"/>
          <w:szCs w:val="21"/>
          <w:lang w:val="en-US" w:eastAsia="zh-CN"/>
        </w:rPr>
        <w:t xml:space="preserve">格式见示范格式5</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hint="eastAsia" w:ascii="宋体" w:hAnsi="宋体"/>
          <w:sz w:val="24"/>
          <w:szCs w:val="21"/>
          <w:lang w:val="en-US" w:eastAsia="zh-CN"/>
        </w:rPr>
        <w:t xml:space="preserve">格式见示范格式6</w:t>
      </w:r>
      <w:r>
        <w:rPr>
          <w:rFonts w:hint="eastAsia" w:ascii="宋体" w:hAnsi="宋体"/>
          <w:sz w:val="24"/>
          <w:szCs w:val="21"/>
        </w:rPr>
        <w:t xml:space="preserve">）</w:t>
      </w:r>
      <w:r/>
    </w:p>
    <w:p>
      <w:pPr>
        <w:ind w:firstLine="480"/>
        <w:spacing w:line="400" w:lineRule="exact"/>
        <w:rPr>
          <w:rFonts w:ascii="宋体" w:hAnsi="宋体"/>
          <w:b/>
          <w:sz w:val="24"/>
          <w:szCs w:val="21"/>
        </w:rPr>
      </w:pPr>
      <w:r>
        <w:rPr>
          <w:rFonts w:hint="eastAsia" w:ascii="方正魏碑_GBK" w:hAnsi="方正魏碑_GBK" w:eastAsia="方正魏碑_GBK" w:cs="方正魏碑_GBK"/>
          <w:color w:val="ff0000"/>
          <w:sz w:val="24"/>
          <w:szCs w:val="21"/>
          <w:highlight w:val="yellow"/>
        </w:rPr>
        <w:t xml:space="preserve">3.关于符合本国产品标准的声明函（格式见附件</w:t>
      </w:r>
      <w:r>
        <w:rPr>
          <w:rFonts w:hint="eastAsia" w:ascii="方正魏碑_GBK" w:hAnsi="方正魏碑_GBK" w:eastAsia="方正魏碑_GBK" w:cs="方正魏碑_GBK"/>
          <w:color w:val="ff0000"/>
          <w:sz w:val="24"/>
          <w:szCs w:val="21"/>
          <w:highlight w:val="yellow"/>
          <w:lang w:val="en-US" w:eastAsia="zh-CN"/>
        </w:rPr>
        <w:t xml:space="preserve">7</w:t>
      </w:r>
      <w:r>
        <w:rPr>
          <w:rFonts w:hint="eastAsia" w:ascii="方正魏碑_GBK" w:hAnsi="方正魏碑_GBK" w:eastAsia="方正魏碑_GBK" w:cs="方正魏碑_GBK"/>
          <w:color w:val="ff0000"/>
          <w:sz w:val="24"/>
          <w:szCs w:val="21"/>
          <w:highlight w:val="yellow"/>
        </w:rPr>
        <w:t xml:space="preserve">）</w:t>
      </w:r>
      <w:r/>
    </w:p>
    <w:p>
      <w:pPr>
        <w:spacing w:line="400" w:lineRule="exact"/>
        <w:tabs>
          <w:tab w:val="left" w:pos="360" w:leader="none"/>
        </w:tabs>
        <w:rPr>
          <w:rFonts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1</w:t>
      </w:r>
      <w:r/>
    </w:p>
    <w:p>
      <w:pPr>
        <w:jc w:val="center"/>
        <w:rPr>
          <w:rFonts w:hint="eastAsia" w:eastAsia="仿宋_GB2312"/>
          <w:sz w:val="24"/>
          <w:szCs w:val="20"/>
        </w:rPr>
      </w:pPr>
      <w:r>
        <w:rPr>
          <w:rFonts w:hint="eastAsia" w:ascii="宋体" w:hAnsi="宋体"/>
          <w:b/>
          <w:sz w:val="24"/>
          <w:szCs w:val="24"/>
        </w:rPr>
        <w:t xml:space="preserve">开标一览表</w:t>
      </w:r>
      <w:r/>
    </w:p>
    <w:p>
      <w:pPr>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400" w:lineRule="exact"/>
        <w:rPr>
          <w:sz w:val="24"/>
          <w:szCs w:val="24"/>
        </w:rPr>
      </w:pPr>
      <w:r>
        <w:rPr>
          <w:rFonts w:hint="eastAsia" w:ascii="宋体" w:hAnsi="宋体"/>
          <w:sz w:val="24"/>
          <w:szCs w:val="24"/>
        </w:rPr>
        <w:t xml:space="preserve">项目名称：</w:t>
      </w:r>
      <w:r/>
    </w:p>
    <w:p>
      <w:pPr>
        <w:ind w:firstLine="482"/>
        <w:spacing w:line="400" w:lineRule="exact"/>
        <w:rPr>
          <w:rFonts w:ascii="宋体" w:hAnsi="宋体"/>
          <w:sz w:val="24"/>
          <w:szCs w:val="24"/>
        </w:rPr>
      </w:pPr>
      <w:r>
        <w:rPr>
          <w:rFonts w:hint="eastAsia" w:ascii="宋体" w:hAnsi="宋体"/>
          <w:sz w:val="24"/>
          <w:szCs w:val="24"/>
        </w:rPr>
        <w:t xml:space="preserve">项目编号：                                   </w:t>
      </w:r>
      <w:r/>
    </w:p>
    <w:p>
      <w:pPr>
        <w:ind w:firstLine="482"/>
        <w:spacing w:line="400" w:lineRule="exact"/>
        <w:rPr>
          <w:rFonts w:hint="eastAsia" w:ascii="宋体" w:hAnsi="宋体" w:eastAsia="宋体"/>
          <w:sz w:val="24"/>
          <w:szCs w:val="24"/>
          <w:lang w:val="en-US" w:eastAsia="zh-CN"/>
        </w:rPr>
      </w:pPr>
      <w:r>
        <w:rPr>
          <w:rFonts w:hint="eastAsia" w:ascii="宋体" w:hAnsi="宋体"/>
          <w:sz w:val="24"/>
          <w:szCs w:val="24"/>
        </w:rPr>
        <w:t xml:space="preserve">采购包号：</w:t>
      </w:r>
      <w:r/>
    </w:p>
    <w:tbl>
      <w:tblPr>
        <w:tblStyle w:val="893"/>
        <w:tblW w:w="0" w:type="auto"/>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sz w:val="24"/>
                <w:szCs w:val="21"/>
              </w:rPr>
            </w:pPr>
            <w:r>
              <w:rPr>
                <w:rFonts w:hint="eastAsia" w:ascii="宋体" w:hAnsi="宋体" w:cs="宋体"/>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val="false"/>
          </w:tcPr>
          <w:p>
            <w:pPr>
              <w:jc w:val="left"/>
              <w:spacing w:line="500" w:lineRule="exact"/>
              <w:rPr>
                <w:rFonts w:hint="eastAsia" w:ascii="宋体" w:hAnsi="宋体" w:cs="宋体"/>
                <w:sz w:val="24"/>
                <w:szCs w:val="24"/>
              </w:rPr>
            </w:pPr>
            <w:r>
              <w:rPr>
                <w:rFonts w:hint="eastAsia" w:ascii="宋体" w:hAnsi="宋体" w:cs="宋体"/>
                <w:sz w:val="24"/>
                <w:szCs w:val="24"/>
              </w:rPr>
            </w:r>
            <w:r/>
          </w:p>
        </w:tc>
      </w:tr>
    </w:tbl>
    <w:p>
      <w:pPr>
        <w:jc w:val="both"/>
        <w:rPr>
          <w:rFonts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2</w:t>
      </w:r>
      <w:r/>
    </w:p>
    <w:p>
      <w:pPr>
        <w:jc w:val="center"/>
        <w:rPr>
          <w:rFonts w:hint="eastAsia" w:ascii="宋体" w:hAnsi="宋体"/>
          <w:b/>
          <w:sz w:val="24"/>
          <w:szCs w:val="24"/>
        </w:rPr>
      </w:pPr>
      <w:r>
        <w:rPr>
          <w:rFonts w:hint="eastAsia" w:ascii="宋体" w:hAnsi="宋体"/>
          <w:b/>
          <w:sz w:val="24"/>
          <w:szCs w:val="24"/>
        </w:rPr>
        <w:t xml:space="preserve">投标分项报价表（采购包号：</w:t>
      </w:r>
      <w:r>
        <w:rPr>
          <w:rFonts w:hint="eastAsia" w:ascii="宋体" w:hAnsi="宋体"/>
          <w:b/>
          <w:sz w:val="24"/>
          <w:szCs w:val="24"/>
          <w:lang w:val="en-US" w:eastAsia="zh-CN"/>
        </w:rPr>
        <w:t xml:space="preserve">1</w:t>
      </w:r>
      <w:r>
        <w:rPr>
          <w:rFonts w:hint="eastAsia" w:ascii="宋体" w:hAnsi="宋体"/>
          <w:b/>
          <w:sz w:val="24"/>
          <w:szCs w:val="24"/>
        </w:rPr>
        <w:t xml:space="preserve">）</w:t>
      </w:r>
      <w:r/>
    </w:p>
    <w:tbl>
      <w:tblPr>
        <w:tblStyle w:val="893"/>
        <w:tblW w:w="92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jc w:val="center"/>
          <w:trHeight w:val="544"/>
        </w:trPr>
        <w:tc>
          <w:tcPr>
            <w:tcW w:w="500"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9</w:t>
            </w:r>
            <w:r/>
          </w:p>
        </w:tc>
      </w:tr>
      <w:tr>
        <w:trPr>
          <w:cantSplit/>
          <w:jc w:val="center"/>
          <w:trHeight w:val="29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w:t>
            </w:r>
            <w:r/>
          </w:p>
          <w:p>
            <w:pPr>
              <w:jc w:val="center"/>
              <w:spacing w:line="0" w:lineRule="atLeast"/>
              <w:rPr>
                <w:rFonts w:hint="eastAsia"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w:t>
            </w:r>
            <w:r/>
          </w:p>
          <w:p>
            <w:pPr>
              <w:jc w:val="center"/>
              <w:spacing w:line="0" w:lineRule="atLeast"/>
              <w:rPr>
                <w:rFonts w:hint="eastAsia"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jc w:val="center"/>
          <w:trHeight w:val="696"/>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jc w:val="center"/>
          <w:trHeight w:val="72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jc w:val="center"/>
          <w:trHeight w:val="640"/>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jc w:val="center"/>
          <w:trHeight w:val="580"/>
        </w:trPr>
        <w:tc>
          <w:tcPr>
            <w:tcW w:w="5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jc w:val="center"/>
          <w:trHeight w:val="434"/>
        </w:trPr>
        <w:tc>
          <w:tcPr>
            <w:gridSpan w:val="10"/>
            <w:tcW w:w="9263" w:type="dxa"/>
            <w:vAlign w:val="top"/>
            <w:textDirection w:val="lrTb"/>
            <w:noWrap w:val="false"/>
          </w:tcPr>
          <w:p>
            <w:pPr>
              <w:rPr>
                <w:rFonts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p>
        </w:tc>
      </w:tr>
      <w:tr>
        <w:trPr>
          <w:cantSplit/>
          <w:jc w:val="center"/>
          <w:trHeight w:val="767"/>
        </w:trPr>
        <w:tc>
          <w:tcPr>
            <w:gridSpan w:val="10"/>
            <w:tcW w:w="9263" w:type="dxa"/>
            <w:vAlign w:val="top"/>
            <w:textDirection w:val="lrTb"/>
            <w:noWrap w:val="false"/>
          </w:tcPr>
          <w:p>
            <w:pPr>
              <w:pStyle w:val="900"/>
              <w:spacing w:before="0" w:beforeAutospacing="0" w:after="0" w:afterAutospacing="0" w:line="0" w:lineRule="atLeast"/>
              <w:rPr>
                <w:rFonts w:hint="eastAsia"/>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w:t>
            </w:r>
            <w:r>
              <w:rPr>
                <w:rFonts w:hint="eastAsia" w:ascii="方正魏碑_GBK" w:hAnsi="方正魏碑_GBK" w:eastAsia="方正魏碑_GBK" w:cs="方正魏碑_GBK"/>
                <w:color w:val="ff0000"/>
                <w:sz w:val="28"/>
                <w:szCs w:val="28"/>
              </w:rPr>
              <w:t xml:space="preserve">%。</w:t>
            </w:r>
            <w:r/>
          </w:p>
        </w:tc>
      </w:tr>
    </w:tbl>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hint="eastAsia"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）及其他有关的为完成本项目发生的所有费用，招标文件中另有规定的除外。“投标总报价”数额为各“分项总价”之和。</w:t>
      </w:r>
      <w:r/>
    </w:p>
    <w:p>
      <w:pPr>
        <w:spacing w:line="400" w:lineRule="exact"/>
        <w:rPr>
          <w:rFonts w:hint="eastAsia" w:ascii="宋体" w:hAnsi="宋体"/>
          <w:sz w:val="24"/>
          <w:szCs w:val="21"/>
        </w:rPr>
      </w:pPr>
      <w:r>
        <w:rPr>
          <w:rFonts w:hint="eastAsia" w:ascii="宋体" w:hAnsi="宋体"/>
          <w:sz w:val="24"/>
          <w:szCs w:val="21"/>
        </w:rPr>
        <w:t xml:space="preserve">2.</w:t>
      </w:r>
      <w:r>
        <w:rPr>
          <w:rFonts w:hint="eastAsia"/>
          <w:szCs w:val="21"/>
        </w:rPr>
        <w:t xml:space="preserve">“</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p>
    <w:p>
      <w:pPr>
        <w:spacing w:line="400" w:lineRule="exact"/>
        <w:rPr>
          <w:rFonts w:hint="eastAsia" w:ascii="宋体" w:hAnsi="宋体"/>
          <w:sz w:val="24"/>
          <w:szCs w:val="21"/>
        </w:rPr>
      </w:pPr>
      <w:r>
        <w:rPr>
          <w:rFonts w:hint="eastAsia" w:ascii="方正魏碑_GBK" w:hAnsi="方正魏碑_GBK" w:eastAsia="方正魏碑_GBK" w:cs="方正魏碑_GBK"/>
          <w:color w:val="ff0000"/>
          <w:sz w:val="28"/>
          <w:szCs w:val="28"/>
        </w:rPr>
        <w:t xml:space="preserve">3</w:t>
      </w:r>
      <w:r>
        <w:rPr>
          <w:rFonts w:ascii="方正魏碑_GBK" w:hAnsi="方正魏碑_GBK" w:eastAsia="方正魏碑_GBK" w:cs="方正魏碑_GBK"/>
          <w:color w:val="ff0000"/>
          <w:sz w:val="28"/>
          <w:szCs w:val="28"/>
        </w:rPr>
        <w:t xml:space="preserve">.</w:t>
      </w:r>
      <w:r>
        <w:rPr>
          <w:rFonts w:hint="eastAsia" w:ascii="方正魏碑_GBK" w:hAnsi="方正魏碑_GBK" w:eastAsia="方正魏碑_GBK" w:cs="方正魏碑_GBK"/>
          <w:color w:val="ff0000"/>
          <w:sz w:val="28"/>
          <w:szCs w:val="28"/>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ascii="宋体" w:hAnsi="宋体"/>
          <w:b/>
          <w:sz w:val="24"/>
          <w:szCs w:val="24"/>
        </w:rPr>
      </w:pPr>
      <w:r>
        <w:rPr>
          <w:rFonts w:hint="eastAsia" w:ascii="黑体" w:hAnsi="黑体" w:eastAsia="黑体" w:cs="黑体"/>
          <w:b/>
          <w:sz w:val="32"/>
          <w:szCs w:val="32"/>
        </w:rPr>
        <w:t xml:space="preserve">4.投标人需认真填写本报价表，尤其注意规格型号的准确填写。</w:t>
      </w:r>
      <w:r>
        <w:rPr>
          <w:rFonts w:hint="eastAsia"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3</w:t>
      </w:r>
      <w:r/>
    </w:p>
    <w:p>
      <w:pPr>
        <w:jc w:val="center"/>
        <w:rPr>
          <w:rFonts w:hint="eastAsia" w:ascii="宋体" w:hAnsi="宋体"/>
          <w:b/>
          <w:sz w:val="24"/>
          <w:szCs w:val="24"/>
        </w:rPr>
      </w:pPr>
      <w:r>
        <w:rPr>
          <w:rFonts w:hint="eastAsia" w:ascii="宋体" w:hAnsi="宋体"/>
          <w:b/>
          <w:sz w:val="24"/>
          <w:szCs w:val="24"/>
        </w:rPr>
        <w:t xml:space="preserve">技术要求响应及偏离表（采购包号：</w:t>
      </w:r>
      <w:r>
        <w:rPr>
          <w:rFonts w:hint="eastAsia" w:ascii="宋体" w:hAnsi="宋体"/>
          <w:b/>
          <w:sz w:val="24"/>
          <w:szCs w:val="24"/>
          <w:lang w:val="en-US" w:eastAsia="zh-CN"/>
        </w:rPr>
        <w:t xml:space="preserve">1</w:t>
      </w:r>
      <w:r>
        <w:rPr>
          <w:rFonts w:hint="eastAsia" w:ascii="宋体" w:hAnsi="宋体"/>
          <w:b/>
          <w:sz w:val="24"/>
          <w:szCs w:val="24"/>
        </w:rPr>
        <w:t xml:space="preserve">）</w:t>
      </w:r>
      <w:r/>
    </w:p>
    <w:tbl>
      <w:tblPr>
        <w:tblStyle w:val="893"/>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jc w:val="both"/>
        <w:rPr>
          <w:rFonts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4</w:t>
      </w:r>
      <w:r/>
    </w:p>
    <w:p>
      <w:pPr>
        <w:jc w:val="center"/>
        <w:rPr>
          <w:rFonts w:hint="eastAsia" w:ascii="宋体" w:hAnsi="宋体"/>
          <w:b/>
          <w:sz w:val="24"/>
          <w:szCs w:val="24"/>
        </w:rPr>
      </w:pPr>
      <w:r>
        <w:rPr>
          <w:rFonts w:hint="eastAsia" w:ascii="宋体" w:hAnsi="宋体"/>
          <w:b/>
          <w:sz w:val="24"/>
          <w:szCs w:val="24"/>
        </w:rPr>
        <w:t xml:space="preserve">商务要求响应及偏离表（采购包号：</w:t>
      </w:r>
      <w:r>
        <w:rPr>
          <w:rFonts w:hint="eastAsia" w:ascii="宋体" w:hAnsi="宋体"/>
          <w:b/>
          <w:sz w:val="24"/>
          <w:szCs w:val="24"/>
          <w:lang w:val="en-US" w:eastAsia="zh-CN"/>
        </w:rPr>
        <w:t xml:space="preserve">1</w:t>
      </w:r>
      <w:r>
        <w:rPr>
          <w:rFonts w:hint="eastAsia" w:ascii="宋体" w:hAnsi="宋体"/>
          <w:b/>
          <w:sz w:val="24"/>
          <w:szCs w:val="24"/>
        </w:rPr>
        <w:t xml:space="preserve">）</w:t>
      </w:r>
      <w:r/>
    </w:p>
    <w:tbl>
      <w:tblPr>
        <w:tblStyle w:val="893"/>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b/>
          <w:color w:val="000000"/>
          <w:sz w:val="24"/>
          <w:szCs w:val="21"/>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bookmarkEnd w:id="187"/>
      <w:r/>
      <w:bookmarkEnd w:id="188"/>
      <w:r/>
      <w:bookmarkEnd w:id="189"/>
      <w:r/>
      <w:r/>
    </w:p>
    <w:p>
      <w:pPr>
        <w:spacing w:line="460" w:lineRule="exact"/>
        <w:rPr>
          <w:rFonts w:hint="eastAsia" w:ascii="宋体" w:hAnsi="宋体" w:eastAsia="宋体"/>
          <w:b/>
          <w:color w:val="000000"/>
          <w:sz w:val="24"/>
          <w:szCs w:val="21"/>
          <w:lang w:eastAsia="zh-CN"/>
        </w:rPr>
      </w:pPr>
      <w:r/>
      <w:bookmarkStart w:id="190" w:name="_Toc120614284"/>
      <w:r>
        <w:rPr>
          <w:rFonts w:hint="eastAsia" w:ascii="宋体" w:hAnsi="宋体"/>
          <w:b/>
          <w:color w:val="000000"/>
          <w:sz w:val="24"/>
          <w:szCs w:val="21"/>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5</w:t>
      </w:r>
      <w:r/>
    </w:p>
    <w:p>
      <w:pPr>
        <w:jc w:val="center"/>
        <w:spacing w:line="460" w:lineRule="exact"/>
        <w:rPr>
          <w:rFonts w:ascii="黑体" w:hAnsi="黑体" w:eastAsia="黑体"/>
          <w:b/>
          <w:i/>
          <w:color w:val="000000"/>
          <w:sz w:val="32"/>
          <w:szCs w:val="32"/>
          <w:u w:val="single"/>
        </w:rPr>
      </w:pPr>
      <w:r>
        <w:rPr>
          <w:rFonts w:hint="eastAsia" w:ascii="宋体" w:hAnsi="宋体"/>
          <w:b/>
          <w:color w:val="000000"/>
          <w:sz w:val="24"/>
          <w:szCs w:val="21"/>
        </w:rPr>
        <w:t xml:space="preserve">投标函</w:t>
      </w:r>
      <w:r/>
    </w:p>
    <w:p>
      <w:pPr>
        <w:jc w:val="left"/>
        <w:spacing w:line="420" w:lineRule="exact"/>
        <w:rPr>
          <w:rFonts w:hint="eastAsia" w:ascii="宋体" w:hAnsi="宋体" w:eastAsia="宋体"/>
          <w:color w:val="000000"/>
          <w:sz w:val="24"/>
          <w:szCs w:val="21"/>
          <w:lang w:eastAsia="zh-CN"/>
        </w:rPr>
      </w:pPr>
      <w:r>
        <w:rPr>
          <w:rFonts w:hint="eastAsia" w:ascii="宋体" w:hAnsi="宋体"/>
          <w:color w:val="000000"/>
          <w:sz w:val="24"/>
          <w:szCs w:val="21"/>
        </w:rPr>
        <w:t xml:space="preserve">致：</w:t>
      </w:r>
      <w:r>
        <w:rPr>
          <w:rFonts w:hint="eastAsia" w:ascii="宋体" w:hAnsi="宋体"/>
          <w:color w:val="000000"/>
          <w:sz w:val="24"/>
          <w:szCs w:val="21"/>
          <w:lang w:eastAsia="zh-CN"/>
        </w:rPr>
        <w:t xml:space="preserve">淮安市公共资源交易中心金湖分中心</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hint="eastAsia"/>
          <w:color w:val="000000"/>
          <w:sz w:val="24"/>
          <w:szCs w:val="24"/>
          <w:u w:val="single"/>
          <w:lang w:val="en-US" w:eastAsia="zh-CN"/>
        </w:rPr>
        <w:t xml:space="preserve">  </w:t>
      </w:r>
      <w:r>
        <w:rPr>
          <w:rFonts w:hint="eastAsia"/>
          <w:color w:val="000000"/>
          <w:sz w:val="24"/>
          <w:szCs w:val="24"/>
          <w:u w:val="single"/>
          <w:lang w:eastAsia="zh-CN"/>
        </w:rPr>
        <w:t xml:space="preserve">（</w:t>
      </w:r>
      <w:r>
        <w:rPr>
          <w:rFonts w:hint="eastAsia"/>
          <w:color w:val="000000"/>
          <w:sz w:val="24"/>
          <w:szCs w:val="24"/>
          <w:u w:val="single"/>
          <w:lang w:val="en-US" w:eastAsia="zh-CN"/>
        </w:rPr>
        <w:t xml:space="preserve">项目编号</w:t>
      </w:r>
      <w:r>
        <w:rPr>
          <w:rFonts w:hint="eastAsia"/>
          <w:color w:val="000000"/>
          <w:sz w:val="24"/>
          <w:szCs w:val="24"/>
          <w:u w:val="single"/>
          <w:lang w:eastAsia="zh-CN"/>
        </w:rPr>
        <w:t xml:space="preserve">）</w:t>
      </w:r>
      <w:r>
        <w:rPr>
          <w:rFonts w:hint="eastAsia"/>
          <w:color w:val="000000"/>
          <w:sz w:val="24"/>
          <w:szCs w:val="24"/>
          <w:u w:val="single"/>
          <w:lang w:val="en-US" w:eastAsia="zh-CN"/>
        </w:rPr>
        <w:t xml:space="preserve">  </w:t>
      </w:r>
      <w:r>
        <w:rPr>
          <w:rFonts w:hint="eastAsia" w:ascii="宋体" w:hAnsi="宋体"/>
          <w:color w:val="000000"/>
          <w:sz w:val="24"/>
          <w:szCs w:val="21"/>
        </w:rPr>
        <w:t xml:space="preserve">招标文件，正式授权下述签字人_____(姓名)代表我方_______（投标人的名称），全权处理本次项目投标的有关事宜。</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p>
    <w:p>
      <w:pPr>
        <w:ind w:right="1559"/>
        <w:jc w:val="both"/>
        <w:spacing w:line="400" w:lineRule="exact"/>
        <w:tabs>
          <w:tab w:val="left" w:pos="4860" w:leader="none"/>
        </w:tabs>
        <w:rPr>
          <w:rFonts w:hint="eastAsia" w:ascii="宋体" w:hAnsi="宋体" w:eastAsia="宋体"/>
          <w:b/>
          <w:sz w:val="24"/>
          <w:szCs w:val="24"/>
          <w:lang w:eastAsia="zh-CN"/>
        </w:rPr>
      </w:pPr>
      <w:r>
        <w:rPr>
          <w:rFonts w:hint="eastAsia" w:ascii="宋体" w:hAnsi="宋体"/>
          <w:b/>
          <w:sz w:val="24"/>
          <w:szCs w:val="24"/>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6</w:t>
      </w:r>
      <w:r/>
    </w:p>
    <w:p>
      <w:pPr>
        <w:jc w:val="center"/>
        <w:rPr>
          <w:rFonts w:hint="eastAsia" w:ascii="宋体" w:hAnsi="宋体"/>
          <w:b/>
          <w:sz w:val="24"/>
          <w:szCs w:val="24"/>
        </w:rPr>
      </w:pPr>
      <w:r>
        <w:rPr>
          <w:rFonts w:hint="eastAsia" w:ascii="宋体" w:hAnsi="宋体"/>
          <w:b/>
          <w:sz w:val="24"/>
          <w:szCs w:val="24"/>
        </w:rPr>
        <w:t xml:space="preserve">实质性要求响应及偏离表（采购包号：</w:t>
      </w:r>
      <w:r>
        <w:rPr>
          <w:rFonts w:hint="eastAsia" w:ascii="宋体" w:hAnsi="宋体"/>
          <w:b/>
          <w:sz w:val="24"/>
          <w:szCs w:val="24"/>
          <w:lang w:val="en-US" w:eastAsia="zh-CN"/>
        </w:rPr>
        <w:t xml:space="preserve">1</w:t>
      </w:r>
      <w:r>
        <w:rPr>
          <w:rFonts w:hint="eastAsia" w:ascii="宋体" w:hAnsi="宋体"/>
          <w:b/>
          <w:sz w:val="24"/>
          <w:szCs w:val="24"/>
        </w:rPr>
        <w:t xml:space="preserve">）</w:t>
      </w:r>
      <w:r/>
    </w:p>
    <w:tbl>
      <w:tblPr>
        <w:tblStyle w:val="893"/>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sz w:val="24"/>
                <w:szCs w:val="21"/>
              </w:rPr>
              <w:t xml:space="preserve">加*号条款）</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hint="eastAsia" w:ascii="宋体" w:hAnsi="宋体"/>
          <w:sz w:val="24"/>
          <w:szCs w:val="24"/>
          <w:lang w:val="en-US" w:eastAsia="zh-CN"/>
        </w:rPr>
        <w:t xml:space="preserve">6</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sz w:val="24"/>
          <w:szCs w:val="21"/>
        </w:rPr>
        <w:t xml:space="preserve">加*号条款）</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jc w:val="both"/>
        <w:rPr>
          <w:rFonts w:hint="eastAsia" w:ascii="方正魏碑_GBK" w:hAnsi="方正魏碑_GBK" w:eastAsia="方正魏碑_GBK" w:cs="方正魏碑_GBK"/>
          <w:b/>
          <w:color w:val="ff0000"/>
          <w:sz w:val="24"/>
          <w:szCs w:val="24"/>
          <w:lang w:eastAsia="zh-CN"/>
        </w:rPr>
      </w:pPr>
      <w:r>
        <w:rPr>
          <w:rFonts w:hint="eastAsia" w:ascii="方正魏碑_GBK" w:hAnsi="方正魏碑_GBK" w:eastAsia="方正魏碑_GBK" w:cs="方正魏碑_GBK"/>
          <w:b/>
          <w:color w:val="ff0000"/>
          <w:sz w:val="24"/>
          <w:szCs w:val="24"/>
        </w:rPr>
        <w:t xml:space="preserve">附件</w:t>
      </w:r>
      <w:r>
        <w:rPr>
          <w:rFonts w:hint="eastAsia" w:ascii="方正魏碑_GBK" w:hAnsi="方正魏碑_GBK" w:eastAsia="方正魏碑_GBK" w:cs="方正魏碑_GBK"/>
          <w:b/>
          <w:color w:val="ff0000"/>
          <w:sz w:val="24"/>
          <w:szCs w:val="24"/>
          <w:lang w:val="en-US" w:eastAsia="zh-CN"/>
        </w:rPr>
        <w:t xml:space="preserve">7</w:t>
      </w:r>
      <w:r/>
    </w:p>
    <w:p>
      <w:pPr>
        <w:jc w:val="center"/>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b/>
          <w:color w:val="ff0000"/>
          <w:sz w:val="24"/>
          <w:szCs w:val="24"/>
        </w:rPr>
        <w:t xml:space="preserve">关于符合本国产品标准的声明函（采购包号：</w:t>
      </w:r>
      <w:r>
        <w:rPr>
          <w:rFonts w:hint="eastAsia" w:ascii="方正魏碑_GBK" w:hAnsi="方正魏碑_GBK" w:eastAsia="方正魏碑_GBK" w:cs="方正魏碑_GBK"/>
          <w:b/>
          <w:color w:val="ff0000"/>
          <w:sz w:val="24"/>
          <w:szCs w:val="24"/>
          <w:lang w:val="en-US" w:eastAsia="zh-CN"/>
        </w:rPr>
        <w:t xml:space="preserve">1</w:t>
      </w:r>
      <w:r>
        <w:rPr>
          <w:rFonts w:hint="eastAsia" w:ascii="方正魏碑_GBK" w:hAnsi="方正魏碑_GBK" w:eastAsia="方正魏碑_GBK" w:cs="方正魏碑_GBK"/>
          <w:b/>
          <w:color w:val="ff0000"/>
          <w:sz w:val="24"/>
          <w:szCs w:val="24"/>
        </w:rPr>
        <w:t xml:space="preserve">）</w:t>
      </w:r>
      <w:r/>
    </w:p>
    <w:p>
      <w:pPr>
        <w:pStyle w:val="900"/>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900"/>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0"/>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4013517</wp:posOffset>
                </wp:positionH>
                <wp:positionV relativeFrom="paragraph">
                  <wp:posOffset>244475</wp:posOffset>
                </wp:positionV>
                <wp:extent cx="821690" cy="102870"/>
                <wp:effectExtent l="635" t="4445" r="635" b="14604"/>
                <wp:wrapNone/>
                <wp:docPr id="88" name="直接箭头连接符 9"/>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7" o:spid="_x0000_s87" o:spt="32" type="#_x0000_t32" style="position:absolute;z-index:251665408;o:allowoverlap:true;o:allowincell:true;mso-position-horizontal-relative:text;margin-left:316.0pt;mso-position-horizontal:absolute;mso-position-vertical-relative:text;margin-top:19.2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609931</wp:posOffset>
                </wp:positionH>
                <wp:positionV relativeFrom="paragraph">
                  <wp:posOffset>391160</wp:posOffset>
                </wp:positionV>
                <wp:extent cx="565785" cy="130810"/>
                <wp:effectExtent l="1270" t="4445" r="12065" b="17145"/>
                <wp:wrapNone/>
                <wp:docPr id="89" name="直接箭头连接符 20"/>
                <wp:cNvGraphicFramePr/>
                <a:graphic xmlns:a="http://schemas.openxmlformats.org/drawingml/2006/main">
                  <a:graphicData uri="http://schemas.microsoft.com/office/word/2010/wordprocessingShape">
                    <wps:wsp>
                      <wps:cNvPr id="0" name=""/>
                      <wps:cNvSpPr/>
                      <wps:spPr bwMode="auto">
                        <a:xfrm flipV="1">
                          <a:off x="0" y="0"/>
                          <a:ext cx="565785" cy="130809"/>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8" o:spid="_x0000_s88" o:spt="32" type="#_x0000_t32" style="position:absolute;z-index:251670528;o:allowoverlap:true;o:allowincell:true;mso-position-horizontal-relative:text;margin-left:48.0pt;mso-position-horizontal:absolute;mso-position-vertical-relative:text;margin-top:30.8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4990465</wp:posOffset>
                </wp:positionH>
                <wp:positionV relativeFrom="paragraph">
                  <wp:posOffset>40957</wp:posOffset>
                </wp:positionV>
                <wp:extent cx="364490" cy="97790"/>
                <wp:effectExtent l="1270" t="4445" r="15240" b="4445"/>
                <wp:wrapNone/>
                <wp:docPr id="90" name="直接箭头连接符 27"/>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9" o:spid="_x0000_s89" o:spt="32" type="#_x0000_t32" style="position:absolute;z-index:251667456;o:allowoverlap:true;o:allowincell:true;mso-position-horizontal-relative:text;margin-left:392.9pt;mso-position-horizontal:absolute;mso-position-vertical-relative:text;margin-top:3.2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3675380</wp:posOffset>
                </wp:positionH>
                <wp:positionV relativeFrom="paragraph">
                  <wp:posOffset>40957</wp:posOffset>
                </wp:positionV>
                <wp:extent cx="577215" cy="92075"/>
                <wp:effectExtent l="635" t="4445" r="1270" b="10160"/>
                <wp:wrapNone/>
                <wp:docPr id="91" name="直接箭头连接符 17"/>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0" o:spid="_x0000_s90" o:spt="32" type="#_x0000_t32" style="position:absolute;z-index:251666432;o:allowoverlap:true;o:allowincell:true;mso-position-horizontal-relative:text;margin-left:289.4pt;mso-position-horizontal:absolute;mso-position-vertical-relative:text;margin-top:3.2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1506855</wp:posOffset>
                </wp:positionH>
                <wp:positionV relativeFrom="paragraph">
                  <wp:posOffset>401955</wp:posOffset>
                </wp:positionV>
                <wp:extent cx="876300" cy="120015"/>
                <wp:effectExtent l="635" t="4445" r="6985" b="12700"/>
                <wp:wrapNone/>
                <wp:docPr id="92" name="直接箭头连接符 2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1" o:spid="_x0000_s91" o:spt="32" type="#_x0000_t32" style="position:absolute;z-index:251661312;o:allowoverlap:true;o:allowincell:true;mso-position-horizontal-relative:text;margin-left:118.6pt;mso-position-horizontal:absolute;mso-position-vertical-relative:text;margin-top:31.6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3027680</wp:posOffset>
                </wp:positionH>
                <wp:positionV relativeFrom="paragraph">
                  <wp:posOffset>252412</wp:posOffset>
                </wp:positionV>
                <wp:extent cx="816610" cy="103505"/>
                <wp:effectExtent l="635" t="4445" r="5715" b="13970"/>
                <wp:wrapNone/>
                <wp:docPr id="93" name="直接箭头连接符 2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2" o:spid="_x0000_s92" o:spt="32" type="#_x0000_t32" style="position:absolute;z-index:251660288;o:allowoverlap:true;o:allowincell:true;mso-position-horizontal-relative:text;margin-left:238.4pt;mso-position-horizontal:absolute;mso-position-vertical-relative:text;margin-top:19.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1880578</wp:posOffset>
                </wp:positionH>
                <wp:positionV relativeFrom="paragraph">
                  <wp:posOffset>244475</wp:posOffset>
                </wp:positionV>
                <wp:extent cx="816610" cy="76200"/>
                <wp:effectExtent l="635" t="4445" r="5715" b="10795"/>
                <wp:wrapNone/>
                <wp:docPr id="94" name="直接箭头连接符 1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3" o:spid="_x0000_s93" o:spt="32" type="#_x0000_t32" style="position:absolute;z-index:251659264;o:allowoverlap:true;o:allowincell:true;mso-position-horizontal-relative:text;margin-left:148.1pt;mso-position-horizontal:absolute;mso-position-vertical-relative:text;margin-top:19.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1.</w:t>
      </w:r>
      <w:r>
        <w:rPr>
          <w:rStyle w:val="903"/>
          <w:rFonts w:hint="eastAsia" w:ascii="方正魏碑_GBK" w:hAnsi="方正魏碑_GBK" w:eastAsia="方正魏碑_GBK" w:cs="方正魏碑_GBK"/>
          <w:i w:val="0"/>
          <w:color w:val="ff0000"/>
          <w:u w:val="single"/>
          <w:shd w:val="clear" w:color="auto" w:fill="ffffff"/>
        </w:rPr>
        <w:t xml:space="preserve">（产品名称1）</w:t>
      </w:r>
      <w:r>
        <w:rPr>
          <w:rStyle w:val="903"/>
          <w:rFonts w:hint="eastAsia" w:ascii="方正魏碑_GBK" w:hAnsi="方正魏碑_GBK" w:eastAsia="方正魏碑_GBK" w:cs="方正魏碑_GBK"/>
          <w:i w:val="0"/>
          <w:color w:val="ff0000"/>
          <w:shd w:val="clear" w:color="auto" w:fill="ffffff"/>
          <w:vertAlign w:val="superscript"/>
        </w:rPr>
        <w:t xml:space="preserve">1</w:t>
      </w:r>
      <w:r>
        <w:rPr>
          <w:rFonts w:hint="eastAsia" w:ascii="方正魏碑_GBK" w:hAnsi="方正魏碑_GBK" w:eastAsia="方正魏碑_GBK" w:cs="方正魏碑_GBK"/>
          <w:color w:val="ff0000"/>
          <w:shd w:val="clear" w:color="auto" w:fill="ffffff"/>
        </w:rPr>
        <w:t xml:space="preserve">，生产厂为</w:t>
      </w:r>
      <w:r>
        <w:rPr>
          <w:rStyle w:val="903"/>
          <w:rFonts w:hint="eastAsia" w:ascii="方正魏碑_GBK" w:hAnsi="方正魏碑_GBK" w:eastAsia="方正魏碑_GBK" w:cs="方正魏碑_GBK"/>
          <w:i w:val="0"/>
          <w:color w:val="ff0000"/>
          <w:u w:val="single"/>
          <w:shd w:val="clear" w:color="auto" w:fill="ffffff"/>
        </w:rPr>
        <w:t xml:space="preserve">（厂名）</w:t>
      </w:r>
      <w:r>
        <w:rPr>
          <w:rStyle w:val="903"/>
          <w:rFonts w:hint="eastAsia" w:ascii="方正魏碑_GBK" w:hAnsi="方正魏碑_GBK" w:eastAsia="方正魏碑_GBK" w:cs="方正魏碑_GBK"/>
          <w:i w:val="0"/>
          <w:color w:val="ff0000"/>
          <w:shd w:val="clear" w:color="auto" w:fill="ffffff"/>
          <w:vertAlign w:val="superscript"/>
        </w:rPr>
        <w:t xml:space="preserve">2</w:t>
      </w:r>
      <w:r>
        <w:rPr>
          <w:rFonts w:hint="eastAsia" w:ascii="方正魏碑_GBK" w:hAnsi="方正魏碑_GBK" w:eastAsia="方正魏碑_GBK" w:cs="方正魏碑_GBK"/>
          <w:color w:val="ff0000"/>
          <w:shd w:val="clear" w:color="auto" w:fill="ffffff"/>
        </w:rPr>
        <w:t xml:space="preserve">，厂址为</w:t>
      </w:r>
      <w:r>
        <w:rPr>
          <w:rStyle w:val="903"/>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Fonts w:hint="eastAsia" w:ascii="方正魏碑_GBK" w:hAnsi="方正魏碑_GBK" w:eastAsia="方正魏碑_GBK" w:cs="方正魏碑_GBK"/>
          <w:color w:val="ff0000"/>
          <w:u w:val="single"/>
          <w:shd w:val="clear" w:color="auto" w:fill="ffffff"/>
        </w:rPr>
        <w:t xml:space="preserve"> </w:t>
      </w:r>
      <w:r>
        <w:rPr>
          <w:rStyle w:val="903"/>
          <w:rFonts w:hint="eastAsia" w:ascii="方正魏碑_GBK" w:hAnsi="方正魏碑_GBK" w:eastAsia="方正魏碑_GBK" w:cs="方正魏碑_GBK"/>
          <w:i w:val="0"/>
          <w:color w:val="ff0000"/>
          <w:u w:val="single"/>
          <w:shd w:val="clear" w:color="auto" w:fill="ffffff"/>
        </w:rPr>
        <w:t xml:space="preserve">（产品名称1） </w:t>
      </w:r>
      <w:r>
        <w:rPr>
          <w:rFonts w:hint="eastAsia" w:ascii="方正魏碑_GBK" w:hAnsi="方正魏碑_GBK" w:eastAsia="方正魏碑_GBK" w:cs="方正魏碑_GBK"/>
          <w:color w:val="ff0000"/>
          <w:shd w:val="clear" w:color="auto" w:fill="ffffff"/>
        </w:rPr>
        <w:t xml:space="preserve">的中国境内生产的组件成本占比≥</w:t>
      </w:r>
      <w:r>
        <w:rPr>
          <w:rStyle w:val="903"/>
          <w:rFonts w:hint="eastAsia" w:ascii="方正魏碑_GBK" w:hAnsi="方正魏碑_GBK" w:eastAsia="方正魏碑_GBK" w:cs="方正魏碑_GBK"/>
          <w:i w:val="0"/>
          <w:color w:val="ff0000"/>
          <w:u w:val="single"/>
          <w:shd w:val="clear" w:color="auto" w:fill="ffffff"/>
        </w:rPr>
        <w:t xml:space="preserve">（规定</w:t>
      </w:r>
      <w:r>
        <w:rPr>
          <w:rStyle w:val="903"/>
          <w:rFonts w:ascii="方正魏碑_GBK" w:hAnsi="方正魏碑_GBK" w:eastAsia="方正魏碑_GBK" w:cs="方正魏碑_GBK"/>
          <w:i w:val="0"/>
          <w:color w:val="ff0000"/>
          <w:u w:val="single"/>
          <w:shd w:val="clear" w:color="auto" w:fill="ffffff"/>
        </w:rPr>
        <w:t xml:space="preserve">比例</w:t>
      </w:r>
      <w:r>
        <w:rPr>
          <w:rStyle w:val="903"/>
          <w:rFonts w:hint="eastAsia" w:ascii="方正魏碑_GBK" w:hAnsi="方正魏碑_GBK" w:eastAsia="方正魏碑_GBK" w:cs="方正魏碑_GBK"/>
          <w:i w:val="0"/>
          <w:color w:val="ff0000"/>
          <w:u w:val="single"/>
          <w:shd w:val="clear" w:color="auto" w:fill="ffffff"/>
        </w:rPr>
        <w:t xml:space="preserve">）</w:t>
      </w:r>
      <w:r>
        <w:rPr>
          <w:rStyle w:val="903"/>
          <w:rFonts w:hint="eastAsia" w:ascii="方正魏碑_GBK" w:hAnsi="方正魏碑_GBK" w:eastAsia="方正魏碑_GBK" w:cs="方正魏碑_GBK"/>
          <w:i w:val="0"/>
          <w:color w:val="ff0000"/>
          <w:shd w:val="clear" w:color="auto" w:fill="ffffff"/>
          <w:vertAlign w:val="superscript"/>
        </w:rPr>
        <w:t xml:space="preserve">3</w:t>
      </w:r>
      <w:r>
        <w:rPr>
          <w:rFonts w:hint="eastAsia" w:ascii="方正魏碑_GBK" w:hAnsi="方正魏碑_GBK" w:eastAsia="方正魏碑_GBK" w:cs="方正魏碑_GBK"/>
          <w:color w:val="ff0000"/>
          <w:shd w:val="clear" w:color="auto" w:fill="ffffff"/>
        </w:rPr>
        <w:t xml:space="preserve">。</w:t>
      </w:r>
      <w:r>
        <w:rPr>
          <w:rStyle w:val="903"/>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903"/>
          <w:rFonts w:hint="eastAsia" w:ascii="方正魏碑_GBK" w:hAnsi="方正魏碑_GBK" w:eastAsia="方正魏碑_GBK" w:cs="方正魏碑_GBK"/>
          <w:i w:val="0"/>
          <w:color w:val="ff0000"/>
          <w:u w:val="single"/>
          <w:shd w:val="clear" w:color="auto" w:fill="ffffff"/>
        </w:rPr>
        <w:t xml:space="preserve">（关键</w:t>
      </w:r>
      <w:r>
        <w:rPr>
          <w:rStyle w:val="903"/>
          <w:rFonts w:ascii="方正魏碑_GBK" w:hAnsi="方正魏碑_GBK" w:eastAsia="方正魏碑_GBK" w:cs="方正魏碑_GBK"/>
          <w:i w:val="0"/>
          <w:color w:val="ff0000"/>
          <w:u w:val="single"/>
          <w:shd w:val="clear" w:color="auto" w:fill="ffffff"/>
        </w:rPr>
        <w:t xml:space="preserve">组件</w:t>
      </w:r>
      <w:r>
        <w:rPr>
          <w:rStyle w:val="903"/>
          <w:rFonts w:hint="eastAsia" w:ascii="方正魏碑_GBK" w:hAnsi="方正魏碑_GBK" w:eastAsia="方正魏碑_GBK" w:cs="方正魏碑_GBK"/>
          <w:i w:val="0"/>
          <w:color w:val="ff0000"/>
          <w:u w:val="single"/>
          <w:shd w:val="clear" w:color="auto" w:fill="ffffff"/>
        </w:rPr>
        <w:t xml:space="preserve">）</w:t>
      </w:r>
      <w:r>
        <w:rPr>
          <w:rStyle w:val="903"/>
          <w:rFonts w:hint="eastAsia" w:ascii="方正魏碑_GBK" w:hAnsi="方正魏碑_GBK" w:eastAsia="方正魏碑_GBK" w:cs="方正魏碑_GBK"/>
          <w:i w:val="0"/>
          <w:color w:val="ff0000"/>
          <w:shd w:val="clear" w:color="auto" w:fill="ffffff"/>
          <w:vertAlign w:val="superscript"/>
        </w:rPr>
        <w:t xml:space="preserve">4</w:t>
      </w:r>
      <w:r>
        <w:rPr>
          <w:rFonts w:hint="eastAsia" w:ascii="方正魏碑_GBK" w:hAnsi="方正魏碑_GBK" w:eastAsia="方正魏碑_GBK" w:cs="方正魏碑_GBK"/>
          <w:color w:val="ff0000"/>
          <w:shd w:val="clear" w:color="auto" w:fill="ffffff"/>
        </w:rPr>
        <w:t xml:space="preserve">在中国境内生产。</w:t>
      </w:r>
      <w:r>
        <w:rPr>
          <w:rStyle w:val="903"/>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903"/>
          <w:rFonts w:hint="eastAsia" w:ascii="方正魏碑_GBK" w:hAnsi="方正魏碑_GBK" w:eastAsia="方正魏碑_GBK" w:cs="方正魏碑_GBK"/>
          <w:i w:val="0"/>
          <w:color w:val="ff0000"/>
          <w:u w:val="single"/>
          <w:shd w:val="clear" w:color="auto" w:fill="ffffff"/>
        </w:rPr>
        <w:t xml:space="preserve">（关键工序）</w:t>
      </w:r>
      <w:r>
        <w:rPr>
          <w:rStyle w:val="903"/>
          <w:rFonts w:hint="eastAsia" w:ascii="方正魏碑_GBK" w:hAnsi="方正魏碑_GBK" w:eastAsia="方正魏碑_GBK" w:cs="方正魏碑_GBK"/>
          <w:i w:val="0"/>
          <w:color w:val="ff0000"/>
          <w:shd w:val="clear" w:color="auto" w:fill="ffffff"/>
          <w:vertAlign w:val="superscript"/>
        </w:rPr>
        <w:t xml:space="preserve">5</w:t>
      </w:r>
      <w:r>
        <w:rPr>
          <w:rFonts w:hint="eastAsia" w:ascii="方正魏碑_GBK" w:hAnsi="方正魏碑_GBK" w:eastAsia="方正魏碑_GBK" w:cs="方正魏碑_GBK"/>
          <w:color w:val="ff0000"/>
          <w:shd w:val="clear" w:color="auto" w:fill="ffffff"/>
        </w:rPr>
        <w:t xml:space="preserve">在中国境内完成。</w:t>
      </w:r>
      <w:r/>
    </w:p>
    <w:p>
      <w:pPr>
        <w:pStyle w:val="900"/>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3435985</wp:posOffset>
                </wp:positionH>
                <wp:positionV relativeFrom="paragraph">
                  <wp:posOffset>21000</wp:posOffset>
                </wp:positionV>
                <wp:extent cx="816610" cy="147320"/>
                <wp:effectExtent l="635" t="4445" r="5715" b="15875"/>
                <wp:wrapNone/>
                <wp:docPr id="95" name="直接箭头连接符 16"/>
                <wp:cNvGraphicFramePr/>
                <a:graphic xmlns:a="http://schemas.openxmlformats.org/drawingml/2006/main">
                  <a:graphicData uri="http://schemas.microsoft.com/office/word/2010/wordprocessingShape">
                    <wps:wsp>
                      <wps:cNvPr id="0" name=""/>
                      <wps:cNvSpPr/>
                      <wps:spPr bwMode="auto">
                        <a:xfrm flipV="1">
                          <a:off x="0" y="0"/>
                          <a:ext cx="816609" cy="147318"/>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4" o:spid="_x0000_s94" o:spt="32" type="#_x0000_t32" style="position:absolute;z-index:251668480;o:allowoverlap:true;o:allowincell:true;mso-position-horizontal-relative:text;margin-left:270.6pt;mso-position-horizontal:absolute;mso-position-vertical-relative:text;margin-top:1.7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4111942</wp:posOffset>
                </wp:positionH>
                <wp:positionV relativeFrom="paragraph">
                  <wp:posOffset>214630</wp:posOffset>
                </wp:positionV>
                <wp:extent cx="462280" cy="147320"/>
                <wp:effectExtent l="1270" t="4445" r="8890" b="15875"/>
                <wp:wrapNone/>
                <wp:docPr id="96" name="直接箭头连接符 10"/>
                <wp:cNvGraphicFramePr/>
                <a:graphic xmlns:a="http://schemas.openxmlformats.org/drawingml/2006/main">
                  <a:graphicData uri="http://schemas.microsoft.com/office/word/2010/wordprocessingShape">
                    <wps:wsp>
                      <wps:cNvPr id="0" name=""/>
                      <wps:cNvSpPr/>
                      <wps:spPr bwMode="auto">
                        <a:xfrm flipV="1">
                          <a:off x="0" y="0"/>
                          <a:ext cx="462279" cy="147318"/>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5" o:spid="_x0000_s95" o:spt="32" type="#_x0000_t32" style="position:absolute;z-index:251673600;o:allowoverlap:true;o:allowincell:true;mso-position-horizontal-relative:text;margin-left:323.8pt;mso-position-horizontal:absolute;mso-position-vertical-relative:text;margin-top:16.9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680417</wp:posOffset>
                </wp:positionH>
                <wp:positionV relativeFrom="paragraph">
                  <wp:posOffset>399415</wp:posOffset>
                </wp:positionV>
                <wp:extent cx="424815" cy="112395"/>
                <wp:effectExtent l="1270" t="4445" r="15875" b="5080"/>
                <wp:wrapNone/>
                <wp:docPr id="97" name="直接箭头连接符 29"/>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6" o:spid="_x0000_s96" o:spt="32" type="#_x0000_t32" style="position:absolute;z-index:251674624;o:allowoverlap:true;o:allowincell:true;mso-position-horizontal-relative:text;margin-left:53.6pt;mso-position-horizontal:absolute;mso-position-vertical-relative:text;margin-top:31.4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12700" b="19685"/>
                <wp:wrapNone/>
                <wp:docPr id="98" name="直接箭头连接符 1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7" o:spid="_x0000_s97"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1506855</wp:posOffset>
                </wp:positionH>
                <wp:positionV relativeFrom="paragraph">
                  <wp:posOffset>412750</wp:posOffset>
                </wp:positionV>
                <wp:extent cx="908685" cy="140970"/>
                <wp:effectExtent l="635" t="4445" r="5080" b="6985"/>
                <wp:wrapNone/>
                <wp:docPr id="99" name="直接箭头连接符 11"/>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8" o:spid="_x0000_s98" o:spt="32" type="#_x0000_t32" style="position:absolute;z-index:251664384;o:allowoverlap:true;o:allowincell:true;mso-position-horizontal-relative:text;margin-left:118.6pt;mso-position-horizontal:absolute;mso-position-vertical-relative:text;margin-top:32.5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2886075</wp:posOffset>
                </wp:positionH>
                <wp:positionV relativeFrom="paragraph">
                  <wp:posOffset>225425</wp:posOffset>
                </wp:positionV>
                <wp:extent cx="849630" cy="120015"/>
                <wp:effectExtent l="635" t="4445" r="3175" b="12700"/>
                <wp:wrapNone/>
                <wp:docPr id="100" name="直接箭头连接符 2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9" o:spid="_x0000_s99" o:spt="32" type="#_x0000_t32" style="position:absolute;z-index:251663360;o:allowoverlap:true;o:allowincell:true;mso-position-horizontal-relative:text;margin-left:227.2pt;mso-position-horizontal:absolute;mso-position-vertical-relative:text;margin-top:17.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1710690</wp:posOffset>
                </wp:positionH>
                <wp:positionV relativeFrom="paragraph">
                  <wp:posOffset>225425</wp:posOffset>
                </wp:positionV>
                <wp:extent cx="843915" cy="125730"/>
                <wp:effectExtent l="635" t="4445" r="8890" b="6985"/>
                <wp:wrapNone/>
                <wp:docPr id="101" name="直接箭头连接符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0" o:spid="_x0000_s100" o:spt="32" type="#_x0000_t32" style="position:absolute;z-index:251662336;o:allowoverlap:true;o:allowincell:true;mso-position-horizontal-relative:text;margin-left:134.7pt;mso-position-horizontal:absolute;mso-position-vertical-relative:text;margin-top:17.8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2.</w:t>
      </w:r>
      <w:r>
        <w:rPr>
          <w:rStyle w:val="903"/>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，生产厂为</w:t>
      </w:r>
      <w:r>
        <w:rPr>
          <w:rStyle w:val="903"/>
          <w:rFonts w:hint="eastAsia" w:ascii="方正魏碑_GBK" w:hAnsi="方正魏碑_GBK" w:eastAsia="方正魏碑_GBK" w:cs="方正魏碑_GBK"/>
          <w:i w:val="0"/>
          <w:color w:val="ff0000"/>
          <w:u w:val="single"/>
          <w:shd w:val="clear" w:color="auto" w:fill="ffffff"/>
        </w:rPr>
        <w:t xml:space="preserve">（厂名）</w:t>
      </w:r>
      <w:r>
        <w:rPr>
          <w:rFonts w:hint="eastAsia" w:ascii="方正魏碑_GBK" w:hAnsi="方正魏碑_GBK" w:eastAsia="方正魏碑_GBK" w:cs="方正魏碑_GBK"/>
          <w:color w:val="ff0000"/>
          <w:shd w:val="clear" w:color="auto" w:fill="ffffff"/>
        </w:rPr>
        <w:t xml:space="preserve">，厂址为</w:t>
      </w:r>
      <w:r>
        <w:rPr>
          <w:rStyle w:val="903"/>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Style w:val="903"/>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的中国境内生产的组件成本占比≥</w:t>
      </w:r>
      <w:r>
        <w:rPr>
          <w:rStyle w:val="903"/>
          <w:rFonts w:hint="eastAsia" w:ascii="方正魏碑_GBK" w:hAnsi="方正魏碑_GBK" w:eastAsia="方正魏碑_GBK" w:cs="方正魏碑_GBK"/>
          <w:i w:val="0"/>
          <w:color w:val="ff0000"/>
          <w:u w:val="single"/>
          <w:shd w:val="clear" w:color="auto" w:fill="ffffff"/>
        </w:rPr>
        <w:t xml:space="preserve">（规定</w:t>
      </w:r>
      <w:r>
        <w:rPr>
          <w:rStyle w:val="903"/>
          <w:rFonts w:ascii="方正魏碑_GBK" w:hAnsi="方正魏碑_GBK" w:eastAsia="方正魏碑_GBK" w:cs="方正魏碑_GBK"/>
          <w:i w:val="0"/>
          <w:color w:val="ff0000"/>
          <w:u w:val="single"/>
          <w:shd w:val="clear" w:color="auto" w:fill="ffffff"/>
        </w:rPr>
        <w:t xml:space="preserve">比例</w:t>
      </w:r>
      <w:r>
        <w:rPr>
          <w:rStyle w:val="903"/>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w:t>
      </w:r>
      <w:r>
        <w:rPr>
          <w:rStyle w:val="903"/>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w:t>
      </w:r>
      <w:r>
        <w:rPr>
          <w:rStyle w:val="903"/>
          <w:rFonts w:hint="eastAsia" w:ascii="方正魏碑_GBK" w:hAnsi="方正魏碑_GBK" w:eastAsia="方正魏碑_GBK" w:cs="方正魏碑_GBK"/>
          <w:i w:val="0"/>
          <w:color w:val="ff0000"/>
          <w:u w:val="single"/>
          <w:shd w:val="clear" w:color="auto" w:fill="ffffff"/>
        </w:rPr>
        <w:t xml:space="preserve">（关键</w:t>
      </w:r>
      <w:r>
        <w:rPr>
          <w:rStyle w:val="903"/>
          <w:rFonts w:ascii="方正魏碑_GBK" w:hAnsi="方正魏碑_GBK" w:eastAsia="方正魏碑_GBK" w:cs="方正魏碑_GBK"/>
          <w:i w:val="0"/>
          <w:color w:val="ff0000"/>
          <w:u w:val="single"/>
          <w:shd w:val="clear" w:color="auto" w:fill="ffffff"/>
        </w:rPr>
        <w:t xml:space="preserve">组件</w:t>
      </w:r>
      <w:r>
        <w:rPr>
          <w:rStyle w:val="903"/>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在中国境内生产。</w:t>
      </w:r>
      <w:r>
        <w:rPr>
          <w:rStyle w:val="903"/>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903"/>
          <w:rFonts w:hint="eastAsia" w:ascii="方正魏碑_GBK" w:hAnsi="方正魏碑_GBK" w:eastAsia="方正魏碑_GBK" w:cs="方正魏碑_GBK"/>
          <w:i w:val="0"/>
          <w:color w:val="ff0000"/>
          <w:u w:val="single"/>
          <w:shd w:val="clear" w:color="auto" w:fill="ffffff"/>
        </w:rPr>
        <w:t xml:space="preserve">（关键工序）</w:t>
      </w:r>
      <w:r>
        <w:rPr>
          <w:rFonts w:hint="eastAsia" w:ascii="方正魏碑_GBK" w:hAnsi="方正魏碑_GBK" w:eastAsia="方正魏碑_GBK" w:cs="方正魏碑_GBK"/>
          <w:color w:val="ff0000"/>
          <w:shd w:val="clear" w:color="auto" w:fill="ffffff"/>
        </w:rPr>
        <w:t xml:space="preserve">在中国境内完成。</w:t>
      </w:r>
      <w:r/>
    </w:p>
    <w:p>
      <w:pPr>
        <w:pStyle w:val="900"/>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w:t>
      </w:r>
      <w:r/>
    </w:p>
    <w:p>
      <w:pPr>
        <w:pStyle w:val="900"/>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本公司（单位）对上述声明内容的真实性负责。如有虚假，愿承担相应法律责任。</w:t>
      </w:r>
      <w:r/>
    </w:p>
    <w:p>
      <w:pPr>
        <w:pStyle w:val="900"/>
        <w:ind w:right="480" w:firstLine="3840"/>
        <w:spacing w:before="30" w:beforeAutospacing="0" w:after="30" w:afterAutospacing="0" w:line="0" w:lineRule="atLeast"/>
        <w:rPr>
          <w:rFonts w:hint="eastAsia" w:ascii="方正魏碑_GBK" w:hAnsi="方正魏碑_GBK" w:eastAsia="方正魏碑_GBK" w:cs="方正魏碑_GBK"/>
          <w:color w:val="ff0000"/>
          <w:shd w:val="clear" w:color="auto" w:fill="ffffff"/>
        </w:rPr>
      </w:pPr>
      <w:r>
        <w:rPr>
          <w:rFonts w:hint="eastAsia" w:ascii="方正魏碑_GBK" w:hAnsi="方正魏碑_GBK" w:eastAsia="方正魏碑_GBK" w:cs="方正魏碑_GBK"/>
          <w:color w:val="ff0000"/>
          <w:shd w:val="clear" w:color="auto" w:fill="ffffff"/>
        </w:rPr>
      </w:r>
      <w:r/>
    </w:p>
    <w:p>
      <w:pPr>
        <w:pStyle w:val="900"/>
        <w:ind w:right="480" w:firstLine="3840"/>
        <w:spacing w:before="30" w:beforeAutospacing="0" w:after="30" w:afterAutospacing="0" w:line="0" w:lineRule="atLeast"/>
        <w:rPr>
          <w:rFonts w:hint="eastAsia" w:ascii="方正魏碑_GBK" w:hAnsi="方正魏碑_GBK" w:eastAsia="方正魏碑_GBK" w:cs="方正魏碑_GBK"/>
          <w:color w:val="ff0000"/>
          <w:shd w:val="clear" w:color="auto" w:fill="ffffff"/>
        </w:rPr>
      </w:pPr>
      <w:r>
        <w:rPr>
          <w:rFonts w:hint="eastAsia" w:ascii="方正魏碑_GBK" w:hAnsi="方正魏碑_GBK" w:eastAsia="方正魏碑_GBK" w:cs="方正魏碑_GBK"/>
          <w:color w:val="ff0000"/>
          <w:shd w:val="clear" w:color="auto" w:fill="ffffff"/>
        </w:rPr>
        <w:t xml:space="preserve">公司（单位）名称（盖章）：</w:t>
      </w:r>
      <w:r/>
    </w:p>
    <w:p>
      <w:pPr>
        <w:pStyle w:val="900"/>
        <w:ind w:right="480" w:firstLine="3840"/>
        <w:spacing w:before="30" w:beforeAutospacing="0" w:after="30" w:afterAutospacing="0" w:line="0" w:lineRule="atLeast"/>
        <w:rPr>
          <w:rFonts w:hint="eastAsia" w:ascii="方正魏碑_GBK" w:hAnsi="方正魏碑_GBK" w:eastAsia="方正魏碑_GBK" w:cs="方正魏碑_GBK"/>
          <w:color w:val="ff0000"/>
          <w:shd w:val="clear" w:color="auto" w:fill="ffffff"/>
        </w:rPr>
      </w:pPr>
      <w:r>
        <w:rPr>
          <w:rFonts w:hint="eastAsia" w:ascii="方正魏碑_GBK" w:hAnsi="方正魏碑_GBK" w:eastAsia="方正魏碑_GBK" w:cs="方正魏碑_GBK"/>
          <w:color w:val="ff0000"/>
          <w:shd w:val="clear" w:color="auto" w:fill="ffffff"/>
        </w:rPr>
        <w:t xml:space="preserve">日期：　   年　  月　  日</w:t>
      </w:r>
      <w:r/>
    </w:p>
    <w:p>
      <w:pPr>
        <w:pStyle w:val="90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__________________</w:t>
      </w:r>
      <w:r/>
    </w:p>
    <w:p>
      <w:pPr>
        <w:pStyle w:val="900"/>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1.产品如有型号，请在“产品名称”栏一并填写。</w:t>
      </w:r>
      <w:r/>
    </w:p>
    <w:p>
      <w:pPr>
        <w:pStyle w:val="900"/>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2.生产厂名与厂址应与生产厂营业执照载明的相关信息保持一致。</w:t>
      </w:r>
      <w:r/>
    </w:p>
    <w:p>
      <w:pPr>
        <w:pStyle w:val="900"/>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3.该产品的中国境内生产的组件成本占比相关要求实施前，“规定比例”栏可不填，下同。</w:t>
      </w:r>
      <w:r/>
    </w:p>
    <w:p>
      <w:pPr>
        <w:pStyle w:val="900"/>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4.该产品的关键组件要求实施前，“关键组件”栏可不填，下同。</w:t>
      </w:r>
      <w:r/>
    </w:p>
    <w:p>
      <w:pPr>
        <w:pStyle w:val="900"/>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5.该产品的关键工序要求实施前，“关键工序”栏可不填，下同。</w:t>
      </w:r>
      <w:r/>
    </w:p>
    <w:p>
      <w:pPr>
        <w:pStyle w:val="900"/>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6.用斜线划除的地方无需填写。</w:t>
      </w:r>
      <w:bookmarkEnd w:id="180"/>
      <w:r/>
      <w:bookmarkEnd w:id="181"/>
      <w:r/>
      <w:bookmarkEnd w:id="190"/>
      <w:r/>
      <w:r/>
    </w:p>
    <w:p>
      <w:pPr>
        <w:jc w:val="both"/>
        <w:spacing w:line="520" w:lineRule="exact"/>
        <w:rPr>
          <w:rFonts w:hint="eastAsia" w:ascii="宋体" w:hAnsi="宋体" w:eastAsia="宋体" w:cs="宋体"/>
          <w:b/>
          <w:sz w:val="24"/>
          <w:szCs w:val="24"/>
          <w:lang w:val="en-US" w:eastAsia="zh-CN"/>
        </w:rPr>
      </w:pPr>
      <w:r>
        <w:rPr>
          <w:rFonts w:hint="eastAsia" w:ascii="宋体" w:hAnsi="宋体" w:cs="仿宋"/>
          <w:b/>
          <w:bCs/>
          <w:color w:val="000000"/>
          <w:sz w:val="32"/>
          <w:szCs w:val="32"/>
        </w:rPr>
        <w:br w:type="page" w:clear="all"/>
      </w:r>
      <w:r>
        <w:rPr>
          <w:rFonts w:hint="eastAsia" w:ascii="宋体" w:hAnsi="宋体" w:eastAsia="宋体" w:cs="宋体"/>
          <w:b/>
          <w:sz w:val="24"/>
          <w:szCs w:val="24"/>
        </w:rPr>
        <w:t xml:space="preserve">附件</w:t>
      </w:r>
      <w:r>
        <w:rPr>
          <w:rFonts w:hint="eastAsia" w:ascii="宋体" w:hAnsi="宋体" w:eastAsia="宋体" w:cs="宋体"/>
          <w:b/>
          <w:sz w:val="24"/>
          <w:szCs w:val="24"/>
          <w:lang w:val="en-US" w:eastAsia="zh-CN"/>
        </w:rPr>
        <w:t xml:space="preserve">8</w:t>
      </w:r>
      <w:r/>
    </w:p>
    <w:p>
      <w:pPr>
        <w:jc w:val="center"/>
        <w:keepNext w:val="0"/>
        <w:pageBreakBefore w:val="0"/>
        <w:spacing w:before="19" w:line="360" w:lineRule="auto"/>
        <w:widowControl/>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投标人基本信息</w:t>
      </w:r>
      <w:r/>
    </w:p>
    <w:p>
      <w:pPr>
        <w:keepNext w:val="0"/>
        <w:pageBreakBefore w:val="0"/>
        <w:spacing w:before="19" w:line="360" w:lineRule="auto"/>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表一：</w:t>
      </w:r>
      <w:r/>
    </w:p>
    <w:tbl>
      <w:tblPr>
        <w:tblStyle w:val="893"/>
        <w:tblW w:w="499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56"/>
        <w:gridCol w:w="2761"/>
        <w:gridCol w:w="2037"/>
        <w:gridCol w:w="2490"/>
      </w:tblGrid>
      <w:tr>
        <w:trPr>
          <w:jc w:val="center"/>
          <w:trHeight w:val="1080"/>
        </w:trPr>
        <w:tc>
          <w:tcPr>
            <w:tcW w:w="1335" w:type="pct"/>
            <w:vAlign w:val="center"/>
            <w:textDirection w:val="lrTb"/>
            <w:noWrap w:val="false"/>
          </w:tcPr>
          <w:p>
            <w:pPr>
              <w:pStyle w:val="906"/>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投标人名称</w:t>
            </w:r>
            <w:r/>
          </w:p>
        </w:tc>
        <w:tc>
          <w:tcPr>
            <w:gridSpan w:val="3"/>
            <w:tcW w:w="3664" w:type="pct"/>
            <w:vAlign w:val="center"/>
            <w:textDirection w:val="lrTb"/>
            <w:noWrap w:val="false"/>
          </w:tcPr>
          <w:p>
            <w:pPr>
              <w:pStyle w:val="906"/>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080"/>
        </w:trPr>
        <w:tc>
          <w:tcPr>
            <w:tcW w:w="1335" w:type="pct"/>
            <w:vAlign w:val="center"/>
            <w:textDirection w:val="lrTb"/>
            <w:noWrap w:val="false"/>
          </w:tcPr>
          <w:p>
            <w:pPr>
              <w:pStyle w:val="906"/>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w:t>
            </w:r>
            <w:r/>
          </w:p>
        </w:tc>
        <w:tc>
          <w:tcPr>
            <w:tcW w:w="1388" w:type="pct"/>
            <w:vAlign w:val="center"/>
            <w:textDirection w:val="lrTb"/>
            <w:noWrap w:val="false"/>
          </w:tcPr>
          <w:p>
            <w:pPr>
              <w:pStyle w:val="906"/>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24" w:type="pct"/>
            <w:vAlign w:val="center"/>
            <w:textDirection w:val="lrTb"/>
            <w:noWrap w:val="false"/>
          </w:tcPr>
          <w:p>
            <w:pPr>
              <w:pStyle w:val="906"/>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注册地</w:t>
            </w:r>
            <w:r/>
          </w:p>
        </w:tc>
        <w:tc>
          <w:tcPr>
            <w:tcW w:w="1250" w:type="pct"/>
            <w:vAlign w:val="center"/>
            <w:textDirection w:val="lrTb"/>
            <w:noWrap w:val="false"/>
          </w:tcPr>
          <w:p>
            <w:pPr>
              <w:pStyle w:val="906"/>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080"/>
        </w:trPr>
        <w:tc>
          <w:tcPr>
            <w:tcW w:w="1335" w:type="pct"/>
            <w:vAlign w:val="center"/>
            <w:textDirection w:val="lrTb"/>
            <w:noWrap w:val="false"/>
          </w:tcPr>
          <w:p>
            <w:pPr>
              <w:pStyle w:val="906"/>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注册资金（万元）</w:t>
            </w:r>
            <w:r/>
          </w:p>
        </w:tc>
        <w:tc>
          <w:tcPr>
            <w:tcW w:w="1388" w:type="pct"/>
            <w:vAlign w:val="center"/>
            <w:textDirection w:val="lrTb"/>
            <w:noWrap w:val="false"/>
          </w:tcPr>
          <w:p>
            <w:pPr>
              <w:pStyle w:val="906"/>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24" w:type="pct"/>
            <w:vAlign w:val="center"/>
            <w:textDirection w:val="lrTb"/>
            <w:noWrap w:val="false"/>
          </w:tcPr>
          <w:p>
            <w:pPr>
              <w:pStyle w:val="906"/>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成立日期</w:t>
            </w:r>
            <w:r/>
          </w:p>
        </w:tc>
        <w:tc>
          <w:tcPr>
            <w:tcW w:w="1250" w:type="pct"/>
            <w:vAlign w:val="center"/>
            <w:textDirection w:val="lrTb"/>
            <w:noWrap w:val="false"/>
          </w:tcPr>
          <w:p>
            <w:pPr>
              <w:pStyle w:val="906"/>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080"/>
        </w:trPr>
        <w:tc>
          <w:tcPr>
            <w:tcW w:w="1335" w:type="pct"/>
            <w:vAlign w:val="center"/>
            <w:textDirection w:val="lrTb"/>
            <w:noWrap w:val="false"/>
          </w:tcPr>
          <w:p>
            <w:pPr>
              <w:pStyle w:val="906"/>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类型</w:t>
            </w:r>
            <w:r/>
          </w:p>
        </w:tc>
        <w:tc>
          <w:tcPr>
            <w:tcW w:w="1388" w:type="pct"/>
            <w:vAlign w:val="center"/>
            <w:textDirection w:val="lrTb"/>
            <w:noWrap w:val="false"/>
          </w:tcPr>
          <w:p>
            <w:pPr>
              <w:pStyle w:val="906"/>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24" w:type="pct"/>
            <w:vAlign w:val="center"/>
            <w:textDirection w:val="lrTb"/>
            <w:noWrap w:val="false"/>
          </w:tcPr>
          <w:p>
            <w:pPr>
              <w:pStyle w:val="906"/>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营业期限</w:t>
            </w:r>
            <w:r/>
          </w:p>
        </w:tc>
        <w:tc>
          <w:tcPr>
            <w:tcW w:w="1250" w:type="pct"/>
            <w:vAlign w:val="center"/>
            <w:textDirection w:val="lrTb"/>
            <w:noWrap w:val="false"/>
          </w:tcPr>
          <w:p>
            <w:pPr>
              <w:pStyle w:val="906"/>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080"/>
        </w:trPr>
        <w:tc>
          <w:tcPr>
            <w:tcW w:w="1335" w:type="pct"/>
            <w:vAlign w:val="center"/>
            <w:textDirection w:val="lrTb"/>
            <w:noWrap w:val="false"/>
          </w:tcPr>
          <w:p>
            <w:pPr>
              <w:pStyle w:val="906"/>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登记机关</w:t>
            </w:r>
            <w:r/>
          </w:p>
        </w:tc>
        <w:tc>
          <w:tcPr>
            <w:tcW w:w="1388" w:type="pct"/>
            <w:vAlign w:val="center"/>
            <w:textDirection w:val="lrTb"/>
            <w:noWrap w:val="false"/>
          </w:tcPr>
          <w:p>
            <w:pPr>
              <w:pStyle w:val="906"/>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24" w:type="pct"/>
            <w:vAlign w:val="center"/>
            <w:textDirection w:val="lrTb"/>
            <w:noWrap w:val="false"/>
          </w:tcPr>
          <w:p>
            <w:pPr>
              <w:pStyle w:val="906"/>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住  所</w:t>
            </w:r>
            <w:r/>
          </w:p>
        </w:tc>
        <w:tc>
          <w:tcPr>
            <w:tcW w:w="1250" w:type="pct"/>
            <w:vAlign w:val="center"/>
            <w:textDirection w:val="lrTb"/>
            <w:noWrap w:val="false"/>
          </w:tcPr>
          <w:p>
            <w:pPr>
              <w:pStyle w:val="906"/>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080"/>
        </w:trPr>
        <w:tc>
          <w:tcPr>
            <w:tcW w:w="1335" w:type="pct"/>
            <w:vAlign w:val="center"/>
            <w:textDirection w:val="lrTb"/>
            <w:noWrap w:val="false"/>
          </w:tcPr>
          <w:p>
            <w:pPr>
              <w:pStyle w:val="906"/>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注册号或社会信用代码</w:t>
            </w:r>
            <w:r/>
          </w:p>
        </w:tc>
        <w:tc>
          <w:tcPr>
            <w:gridSpan w:val="3"/>
            <w:tcW w:w="3664" w:type="pct"/>
            <w:vAlign w:val="center"/>
            <w:textDirection w:val="lrTb"/>
            <w:noWrap w:val="false"/>
          </w:tcPr>
          <w:p>
            <w:pPr>
              <w:pStyle w:val="906"/>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080"/>
        </w:trPr>
        <w:tc>
          <w:tcPr>
            <w:tcW w:w="1335" w:type="pct"/>
            <w:vAlign w:val="center"/>
            <w:textDirection w:val="lrTb"/>
            <w:noWrap w:val="false"/>
          </w:tcPr>
          <w:p>
            <w:pPr>
              <w:pStyle w:val="906"/>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经营范围</w:t>
            </w:r>
            <w:r/>
          </w:p>
        </w:tc>
        <w:tc>
          <w:tcPr>
            <w:gridSpan w:val="3"/>
            <w:tcW w:w="3664" w:type="pct"/>
            <w:vAlign w:val="center"/>
            <w:textDirection w:val="lrTb"/>
            <w:noWrap w:val="false"/>
          </w:tcPr>
          <w:p>
            <w:pPr>
              <w:pStyle w:val="906"/>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080"/>
        </w:trPr>
        <w:tc>
          <w:tcPr>
            <w:tcW w:w="1335" w:type="pct"/>
            <w:vAlign w:val="center"/>
            <w:textDirection w:val="lrTb"/>
            <w:noWrap w:val="false"/>
          </w:tcPr>
          <w:p>
            <w:pPr>
              <w:pStyle w:val="906"/>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w:t>
            </w:r>
            <w:r/>
          </w:p>
        </w:tc>
        <w:tc>
          <w:tcPr>
            <w:gridSpan w:val="3"/>
            <w:tcW w:w="3664" w:type="pct"/>
            <w:vAlign w:val="center"/>
            <w:textDirection w:val="lrTb"/>
            <w:noWrap w:val="false"/>
          </w:tcPr>
          <w:p>
            <w:pPr>
              <w:pStyle w:val="906"/>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jc w:val="both"/>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jc w:val="both"/>
        <w:keepNext w:val="0"/>
        <w:pageBreakBefore w:val="0"/>
        <w:spacing w:line="360" w:lineRule="auto"/>
        <w:rPr>
          <w:rFonts w:hint="eastAsia" w:ascii="宋体" w:hAnsi="宋体" w:eastAsia="宋体" w:cs="宋体"/>
          <w:b/>
          <w:color w:val="auto"/>
          <w:sz w:val="24"/>
          <w:szCs w:val="24"/>
        </w:rPr>
      </w:pP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u w:val="single"/>
          <w:lang w:val="en-US" w:eastAsia="zh-CN"/>
        </w:rPr>
        <w:t xml:space="preserve">（加盖CA电子公章）</w:t>
      </w:r>
      <w:r/>
    </w:p>
    <w:p>
      <w:pPr>
        <w:rPr>
          <w:rFonts w:hint="eastAsia" w:ascii="宋体" w:hAnsi="宋体" w:eastAsia="宋体" w:cs="宋体"/>
          <w:bCs/>
          <w:color w:val="auto"/>
          <w:sz w:val="24"/>
          <w:szCs w:val="24"/>
        </w:rPr>
      </w:pPr>
      <w:r>
        <w:rPr>
          <w:rFonts w:hint="eastAsia" w:ascii="宋体" w:hAnsi="宋体" w:eastAsia="宋体" w:cs="宋体"/>
          <w:bCs/>
          <w:color w:val="auto"/>
          <w:sz w:val="24"/>
          <w:szCs w:val="24"/>
        </w:rPr>
        <w:br w:type="page" w:clear="all"/>
      </w:r>
      <w:r>
        <w:rPr>
          <w:rFonts w:hint="eastAsia" w:ascii="宋体" w:hAnsi="宋体" w:eastAsia="宋体" w:cs="宋体"/>
          <w:bCs/>
          <w:color w:val="auto"/>
          <w:sz w:val="24"/>
          <w:szCs w:val="24"/>
        </w:rPr>
        <w:t xml:space="preserve">表二：</w:t>
      </w:r>
      <w:r/>
    </w:p>
    <w:tbl>
      <w:tblPr>
        <w:tblStyle w:val="893"/>
        <w:tblW w:w="499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56"/>
        <w:gridCol w:w="2759"/>
        <w:gridCol w:w="2035"/>
        <w:gridCol w:w="2494"/>
      </w:tblGrid>
      <w:tr>
        <w:trPr>
          <w:jc w:val="center"/>
          <w:trHeight w:val="1127"/>
        </w:trPr>
        <w:tc>
          <w:tcPr>
            <w:tcW w:w="1335" w:type="pct"/>
            <w:vAlign w:val="center"/>
            <w:textDirection w:val="lrTb"/>
            <w:noWrap w:val="false"/>
          </w:tcPr>
          <w:p>
            <w:pPr>
              <w:pStyle w:val="906"/>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投标人名称</w:t>
            </w:r>
            <w:r/>
          </w:p>
        </w:tc>
        <w:tc>
          <w:tcPr>
            <w:gridSpan w:val="3"/>
            <w:tcW w:w="3664" w:type="pct"/>
            <w:vAlign w:val="center"/>
            <w:textDirection w:val="lrTb"/>
            <w:noWrap w:val="false"/>
          </w:tcPr>
          <w:p>
            <w:pPr>
              <w:pStyle w:val="906"/>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127"/>
        </w:trPr>
        <w:tc>
          <w:tcPr>
            <w:tcW w:w="1335" w:type="pct"/>
            <w:vAlign w:val="center"/>
            <w:textDirection w:val="lrTb"/>
            <w:noWrap w:val="false"/>
          </w:tcPr>
          <w:p>
            <w:pPr>
              <w:pStyle w:val="906"/>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w:t>
            </w:r>
            <w:r/>
          </w:p>
        </w:tc>
        <w:tc>
          <w:tcPr>
            <w:tcW w:w="1387" w:type="pct"/>
            <w:vAlign w:val="center"/>
            <w:textDirection w:val="lrTb"/>
            <w:noWrap w:val="false"/>
          </w:tcPr>
          <w:p>
            <w:pPr>
              <w:pStyle w:val="906"/>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23" w:type="pct"/>
            <w:vAlign w:val="center"/>
            <w:textDirection w:val="lrTb"/>
            <w:noWrap w:val="false"/>
          </w:tcPr>
          <w:p>
            <w:pPr>
              <w:pStyle w:val="906"/>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开办资金</w:t>
            </w:r>
            <w:r/>
          </w:p>
        </w:tc>
        <w:tc>
          <w:tcPr>
            <w:tcW w:w="1252" w:type="pct"/>
            <w:vAlign w:val="center"/>
            <w:textDirection w:val="lrTb"/>
            <w:noWrap w:val="false"/>
          </w:tcPr>
          <w:p>
            <w:pPr>
              <w:pStyle w:val="906"/>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127"/>
        </w:trPr>
        <w:tc>
          <w:tcPr>
            <w:tcW w:w="1335" w:type="pct"/>
            <w:vAlign w:val="center"/>
            <w:textDirection w:val="lrTb"/>
            <w:noWrap w:val="false"/>
          </w:tcPr>
          <w:p>
            <w:pPr>
              <w:pStyle w:val="906"/>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经费来源</w:t>
            </w:r>
            <w:r/>
          </w:p>
        </w:tc>
        <w:tc>
          <w:tcPr>
            <w:tcW w:w="1387" w:type="pct"/>
            <w:vAlign w:val="center"/>
            <w:textDirection w:val="lrTb"/>
            <w:noWrap w:val="false"/>
          </w:tcPr>
          <w:p>
            <w:pPr>
              <w:pStyle w:val="906"/>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23" w:type="pct"/>
            <w:vAlign w:val="center"/>
            <w:textDirection w:val="lrTb"/>
            <w:noWrap w:val="false"/>
          </w:tcPr>
          <w:p>
            <w:pPr>
              <w:pStyle w:val="906"/>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举办单位</w:t>
            </w:r>
            <w:r/>
          </w:p>
        </w:tc>
        <w:tc>
          <w:tcPr>
            <w:tcW w:w="1252" w:type="pct"/>
            <w:vAlign w:val="center"/>
            <w:textDirection w:val="lrTb"/>
            <w:noWrap w:val="false"/>
          </w:tcPr>
          <w:p>
            <w:pPr>
              <w:pStyle w:val="906"/>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127"/>
        </w:trPr>
        <w:tc>
          <w:tcPr>
            <w:tcW w:w="1335" w:type="pct"/>
            <w:vAlign w:val="center"/>
            <w:textDirection w:val="lrTb"/>
            <w:noWrap w:val="false"/>
          </w:tcPr>
          <w:p>
            <w:pPr>
              <w:pStyle w:val="906"/>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住所</w:t>
            </w:r>
            <w:r/>
          </w:p>
        </w:tc>
        <w:tc>
          <w:tcPr>
            <w:tcW w:w="1387" w:type="pct"/>
            <w:vAlign w:val="center"/>
            <w:textDirection w:val="lrTb"/>
            <w:noWrap w:val="false"/>
          </w:tcPr>
          <w:p>
            <w:pPr>
              <w:pStyle w:val="906"/>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23" w:type="pct"/>
            <w:vAlign w:val="center"/>
            <w:textDirection w:val="lrTb"/>
            <w:noWrap w:val="false"/>
          </w:tcPr>
          <w:p>
            <w:pPr>
              <w:pStyle w:val="906"/>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有效期</w:t>
            </w:r>
            <w:r/>
          </w:p>
        </w:tc>
        <w:tc>
          <w:tcPr>
            <w:tcW w:w="1252" w:type="pct"/>
            <w:vAlign w:val="center"/>
            <w:textDirection w:val="lrTb"/>
            <w:noWrap w:val="false"/>
          </w:tcPr>
          <w:p>
            <w:pPr>
              <w:pStyle w:val="906"/>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127"/>
        </w:trPr>
        <w:tc>
          <w:tcPr>
            <w:tcW w:w="1335" w:type="pct"/>
            <w:vAlign w:val="center"/>
            <w:textDirection w:val="lrTb"/>
            <w:noWrap w:val="false"/>
          </w:tcPr>
          <w:p>
            <w:pPr>
              <w:pStyle w:val="906"/>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统一社会信用代码</w:t>
            </w:r>
            <w:r/>
          </w:p>
        </w:tc>
        <w:tc>
          <w:tcPr>
            <w:tcW w:w="1387" w:type="pct"/>
            <w:vAlign w:val="center"/>
            <w:textDirection w:val="lrTb"/>
            <w:noWrap w:val="false"/>
          </w:tcPr>
          <w:p>
            <w:pPr>
              <w:pStyle w:val="906"/>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23" w:type="pct"/>
            <w:vAlign w:val="center"/>
            <w:textDirection w:val="lrTb"/>
            <w:noWrap w:val="false"/>
          </w:tcPr>
          <w:p>
            <w:pPr>
              <w:pStyle w:val="906"/>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登记机关</w:t>
            </w:r>
            <w:r/>
          </w:p>
        </w:tc>
        <w:tc>
          <w:tcPr>
            <w:tcW w:w="1252" w:type="pct"/>
            <w:vAlign w:val="center"/>
            <w:textDirection w:val="lrTb"/>
            <w:noWrap w:val="false"/>
          </w:tcPr>
          <w:p>
            <w:pPr>
              <w:pStyle w:val="906"/>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127"/>
        </w:trPr>
        <w:tc>
          <w:tcPr>
            <w:tcW w:w="1335" w:type="pct"/>
            <w:vAlign w:val="center"/>
            <w:textDirection w:val="lrTb"/>
            <w:noWrap w:val="false"/>
          </w:tcPr>
          <w:p>
            <w:pPr>
              <w:pStyle w:val="906"/>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业务范围</w:t>
            </w:r>
            <w:r/>
          </w:p>
        </w:tc>
        <w:tc>
          <w:tcPr>
            <w:gridSpan w:val="3"/>
            <w:tcW w:w="3664" w:type="pct"/>
            <w:vAlign w:val="center"/>
            <w:textDirection w:val="lrTb"/>
            <w:noWrap w:val="false"/>
          </w:tcPr>
          <w:p>
            <w:pPr>
              <w:pStyle w:val="906"/>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127"/>
        </w:trPr>
        <w:tc>
          <w:tcPr>
            <w:tcW w:w="1335" w:type="pct"/>
            <w:vAlign w:val="center"/>
            <w:textDirection w:val="lrTb"/>
            <w:noWrap w:val="false"/>
          </w:tcPr>
          <w:p>
            <w:pPr>
              <w:pStyle w:val="906"/>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w:t>
            </w:r>
            <w:r/>
          </w:p>
        </w:tc>
        <w:tc>
          <w:tcPr>
            <w:gridSpan w:val="3"/>
            <w:tcW w:w="3664" w:type="pct"/>
            <w:vAlign w:val="center"/>
            <w:textDirection w:val="lrTb"/>
            <w:noWrap w:val="false"/>
          </w:tcPr>
          <w:p>
            <w:pPr>
              <w:pStyle w:val="906"/>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jc w:val="both"/>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keepNext w:val="0"/>
        <w:pageBreakBefore w:val="0"/>
        <w:spacing w:line="360" w:lineRule="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u w:val="single"/>
          <w:lang w:val="en-US" w:eastAsia="zh-CN"/>
        </w:rPr>
        <w:t xml:space="preserve">（加盖CA电子公章）</w:t>
      </w:r>
      <w:r/>
    </w:p>
    <w:p>
      <w:pPr>
        <w:keepNext w:val="0"/>
        <w:pageBreakBefore w:val="0"/>
        <w:spacing w:line="360" w:lineRule="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u w:val="single"/>
          <w:lang w:val="en-US" w:eastAsia="zh-CN"/>
        </w:rPr>
      </w:r>
      <w:r/>
    </w:p>
    <w:p>
      <w:pPr>
        <w:keepNext w:val="0"/>
        <w:pageBreakBefore w:val="0"/>
        <w:spacing w:line="360" w:lineRule="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u w:val="single"/>
          <w:lang w:val="en-US" w:eastAsia="zh-CN"/>
        </w:rPr>
      </w:r>
      <w:r/>
    </w:p>
    <w:p>
      <w:pPr>
        <w:keepNext w:val="0"/>
        <w:pageBreakBefore w:val="0"/>
        <w:spacing w:line="360" w:lineRule="auto"/>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注：</w:t>
      </w:r>
      <w:r>
        <w:rPr>
          <w:rFonts w:hint="eastAsia" w:ascii="宋体" w:hAnsi="宋体" w:eastAsia="宋体" w:cs="宋体"/>
          <w:b/>
          <w:bCs w:val="0"/>
          <w:color w:val="auto"/>
          <w:sz w:val="24"/>
          <w:szCs w:val="24"/>
          <w:lang w:eastAsia="zh-CN"/>
        </w:rPr>
        <w:t xml:space="preserve">投标人</w:t>
      </w:r>
      <w:r>
        <w:rPr>
          <w:rFonts w:hint="eastAsia" w:ascii="宋体" w:hAnsi="宋体" w:eastAsia="宋体" w:cs="宋体"/>
          <w:b/>
          <w:bCs w:val="0"/>
          <w:color w:val="auto"/>
          <w:sz w:val="24"/>
          <w:szCs w:val="24"/>
        </w:rPr>
        <w:t xml:space="preserve">为企业的，填写表一；</w:t>
      </w:r>
      <w:r>
        <w:rPr>
          <w:rFonts w:hint="eastAsia" w:ascii="宋体" w:hAnsi="宋体" w:eastAsia="宋体" w:cs="宋体"/>
          <w:b/>
          <w:bCs w:val="0"/>
          <w:color w:val="auto"/>
          <w:sz w:val="24"/>
          <w:szCs w:val="24"/>
          <w:lang w:eastAsia="zh-CN"/>
        </w:rPr>
        <w:t xml:space="preserve">投标人</w:t>
      </w:r>
      <w:r>
        <w:rPr>
          <w:rFonts w:hint="eastAsia" w:ascii="宋体" w:hAnsi="宋体" w:eastAsia="宋体" w:cs="宋体"/>
          <w:b/>
          <w:bCs w:val="0"/>
          <w:color w:val="auto"/>
          <w:sz w:val="24"/>
          <w:szCs w:val="24"/>
        </w:rPr>
        <w:t xml:space="preserve">为事业单位的，填写表二。</w:t>
      </w:r>
      <w:r/>
    </w:p>
    <w:p>
      <w:pPr>
        <w:keepNext w:val="0"/>
        <w:pageBreakBefore w:val="0"/>
        <w:spacing w:line="360" w:lineRule="auto"/>
        <w:rPr>
          <w:rFonts w:hint="eastAsia" w:ascii="宋体" w:hAnsi="宋体" w:eastAsia="宋体" w:cs="宋体"/>
          <w:b/>
          <w:sz w:val="24"/>
          <w:szCs w:val="24"/>
          <w:lang w:val="en-US" w:eastAsia="zh-CN"/>
        </w:rPr>
      </w:pPr>
      <w:r>
        <w:rPr>
          <w:rFonts w:hint="eastAsia" w:ascii="宋体" w:hAnsi="宋体" w:eastAsia="宋体" w:cs="宋体"/>
          <w:b/>
          <w:sz w:val="24"/>
          <w:szCs w:val="24"/>
        </w:rPr>
        <w:br w:type="page" w:clear="all"/>
      </w:r>
      <w:r>
        <w:rPr>
          <w:rFonts w:hint="eastAsia" w:ascii="宋体" w:hAnsi="宋体" w:eastAsia="宋体" w:cs="宋体"/>
          <w:b/>
          <w:sz w:val="24"/>
          <w:szCs w:val="24"/>
        </w:rPr>
        <w:t xml:space="preserve">附件</w:t>
      </w:r>
      <w:r>
        <w:rPr>
          <w:rFonts w:hint="eastAsia" w:ascii="宋体" w:hAnsi="宋体" w:eastAsia="宋体" w:cs="宋体"/>
          <w:b/>
          <w:sz w:val="24"/>
          <w:szCs w:val="24"/>
          <w:lang w:val="en-US" w:eastAsia="zh-CN"/>
        </w:rPr>
        <w:t xml:space="preserve">9</w:t>
      </w:r>
      <w:r/>
    </w:p>
    <w:p>
      <w:pPr>
        <w:jc w:val="center"/>
        <w:keepNext w:val="0"/>
        <w:pageBreakBefore w:val="0"/>
        <w:spacing w:line="360" w:lineRule="auto"/>
        <w:rPr>
          <w:rFonts w:hint="eastAsia" w:ascii="宋体" w:hAnsi="宋体" w:cs="仿宋"/>
          <w:b/>
          <w:bCs/>
          <w:color w:val="000000"/>
          <w:sz w:val="32"/>
          <w:szCs w:val="32"/>
        </w:rPr>
      </w:pPr>
      <w:r>
        <w:rPr>
          <w:rFonts w:hint="eastAsia" w:ascii="宋体" w:hAnsi="宋体" w:eastAsia="宋体" w:cs="宋体"/>
          <w:b/>
          <w:sz w:val="24"/>
          <w:szCs w:val="24"/>
          <w:lang w:val="en-US" w:eastAsia="zh-CN"/>
        </w:rPr>
        <w:t xml:space="preserve">类似项目业绩情况表</w:t>
      </w:r>
      <w:r/>
    </w:p>
    <w:tbl>
      <w:tblPr>
        <w:tblStyle w:val="908"/>
        <w:tblW w:w="503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52"/>
        <w:gridCol w:w="2021"/>
        <w:gridCol w:w="3163"/>
        <w:gridCol w:w="1828"/>
        <w:gridCol w:w="1962"/>
      </w:tblGrid>
      <w:tr>
        <w:trPr>
          <w:trHeight w:val="1341"/>
        </w:trPr>
        <w:tc>
          <w:tcPr>
            <w:tcW w:w="434" w:type="pct"/>
            <w:vAlign w:val="center"/>
            <w:textDirection w:val="lrTb"/>
            <w:noWrap w:val="false"/>
          </w:tcPr>
          <w:p>
            <w:pPr>
              <w:pStyle w:val="907"/>
              <w:ind w:left="0"/>
              <w:jc w:val="center"/>
              <w:spacing w:line="240" w:lineRule="auto"/>
              <w:rPr>
                <w:color w:val="auto"/>
              </w:rPr>
            </w:pPr>
            <w:r>
              <w:rPr>
                <w:color w:val="auto"/>
                <w:spacing w:val="-5"/>
              </w:rPr>
              <w:t xml:space="preserve">序号</w:t>
            </w:r>
            <w:r/>
          </w:p>
        </w:tc>
        <w:tc>
          <w:tcPr>
            <w:tcW w:w="1028" w:type="pct"/>
            <w:vAlign w:val="center"/>
            <w:textDirection w:val="lrTb"/>
            <w:noWrap w:val="false"/>
          </w:tcPr>
          <w:p>
            <w:pPr>
              <w:pStyle w:val="907"/>
              <w:ind w:left="0"/>
              <w:jc w:val="center"/>
              <w:spacing w:line="240" w:lineRule="auto"/>
              <w:rPr>
                <w:color w:val="auto"/>
              </w:rPr>
            </w:pPr>
            <w:r>
              <w:rPr>
                <w:color w:val="auto"/>
                <w:spacing w:val="-4"/>
              </w:rPr>
              <w:t xml:space="preserve">项目名称</w:t>
            </w:r>
            <w:r/>
          </w:p>
        </w:tc>
        <w:tc>
          <w:tcPr>
            <w:tcBorders>
              <w:right w:val="single" w:color="000000" w:sz="2" w:space="0"/>
            </w:tcBorders>
            <w:tcW w:w="1609" w:type="pct"/>
            <w:vAlign w:val="center"/>
            <w:textDirection w:val="lrTb"/>
            <w:noWrap w:val="false"/>
          </w:tcPr>
          <w:p>
            <w:pPr>
              <w:pStyle w:val="907"/>
              <w:ind w:left="0"/>
              <w:jc w:val="center"/>
              <w:spacing w:line="240" w:lineRule="auto"/>
              <w:rPr>
                <w:color w:val="auto"/>
              </w:rPr>
            </w:pPr>
            <w:r>
              <w:rPr>
                <w:color w:val="auto"/>
                <w:spacing w:val="-2"/>
              </w:rPr>
              <w:t xml:space="preserve">项目规模（内容）</w:t>
            </w:r>
            <w:r/>
          </w:p>
        </w:tc>
        <w:tc>
          <w:tcPr>
            <w:tcBorders>
              <w:left w:val="single" w:color="000000" w:sz="2" w:space="0"/>
            </w:tcBorders>
            <w:tcW w:w="930" w:type="pct"/>
            <w:vAlign w:val="center"/>
            <w:textDirection w:val="lrTb"/>
            <w:noWrap w:val="false"/>
          </w:tcPr>
          <w:p>
            <w:pPr>
              <w:pStyle w:val="907"/>
              <w:ind w:left="0"/>
              <w:jc w:val="center"/>
              <w:spacing w:line="240" w:lineRule="auto"/>
              <w:rPr>
                <w:color w:val="auto"/>
                <w:spacing w:val="-3"/>
                <w:position w:val="5"/>
              </w:rPr>
            </w:pPr>
            <w:r>
              <w:rPr>
                <w:color w:val="auto"/>
                <w:spacing w:val="-3"/>
                <w:position w:val="5"/>
              </w:rPr>
              <w:t xml:space="preserve">合同金额</w:t>
            </w:r>
            <w:r/>
          </w:p>
          <w:p>
            <w:pPr>
              <w:pStyle w:val="907"/>
              <w:ind w:left="0"/>
              <w:jc w:val="center"/>
              <w:spacing w:line="240" w:lineRule="auto"/>
              <w:rPr>
                <w:rFonts w:hint="eastAsia" w:eastAsia="宋体"/>
                <w:color w:val="auto"/>
                <w:lang w:eastAsia="zh-CN"/>
              </w:rPr>
            </w:pPr>
            <w:r>
              <w:rPr>
                <w:rFonts w:hint="eastAsia"/>
                <w:color w:val="auto"/>
                <w:spacing w:val="-3"/>
                <w:position w:val="5"/>
                <w:lang w:eastAsia="zh-CN"/>
              </w:rPr>
              <w:t xml:space="preserve">（</w:t>
            </w:r>
            <w:r>
              <w:rPr>
                <w:rFonts w:hint="eastAsia"/>
                <w:color w:val="auto"/>
                <w:spacing w:val="-3"/>
                <w:position w:val="5"/>
                <w:lang w:val="en-US" w:eastAsia="zh-CN"/>
              </w:rPr>
              <w:t xml:space="preserve">万元</w:t>
            </w:r>
            <w:r>
              <w:rPr>
                <w:rFonts w:hint="eastAsia"/>
                <w:color w:val="auto"/>
                <w:spacing w:val="-3"/>
                <w:position w:val="5"/>
                <w:lang w:eastAsia="zh-CN"/>
              </w:rPr>
              <w:t xml:space="preserve">）</w:t>
            </w:r>
            <w:r/>
          </w:p>
        </w:tc>
        <w:tc>
          <w:tcPr>
            <w:tcW w:w="998" w:type="pct"/>
            <w:vAlign w:val="center"/>
            <w:textDirection w:val="lrTb"/>
            <w:noWrap w:val="false"/>
          </w:tcPr>
          <w:p>
            <w:pPr>
              <w:ind w:left="0"/>
              <w:jc w:val="center"/>
              <w:spacing w:line="240" w:lineRule="auto"/>
              <w:rPr>
                <w:color w:val="auto"/>
              </w:rPr>
            </w:pPr>
            <w:r>
              <w:rPr>
                <w:color w:val="auto"/>
              </w:rPr>
            </w:r>
            <w:r/>
          </w:p>
          <w:p>
            <w:pPr>
              <w:pStyle w:val="907"/>
              <w:ind w:left="0"/>
              <w:jc w:val="center"/>
              <w:spacing w:line="240" w:lineRule="auto"/>
              <w:rPr>
                <w:color w:val="auto"/>
              </w:rPr>
            </w:pPr>
            <w:r>
              <w:rPr>
                <w:color w:val="auto"/>
                <w:spacing w:val="-7"/>
              </w:rPr>
              <w:t xml:space="preserve">备注</w:t>
            </w:r>
            <w:r/>
          </w:p>
        </w:tc>
      </w:tr>
      <w:tr>
        <w:trPr>
          <w:trHeight w:val="796"/>
        </w:trPr>
        <w:tc>
          <w:tcPr>
            <w:tcW w:w="434" w:type="pct"/>
            <w:vAlign w:val="center"/>
            <w:textDirection w:val="lrTb"/>
            <w:noWrap w:val="false"/>
          </w:tcPr>
          <w:p>
            <w:pPr>
              <w:pStyle w:val="907"/>
              <w:ind w:left="0"/>
              <w:jc w:val="center"/>
              <w:spacing w:line="240" w:lineRule="auto"/>
              <w:rPr>
                <w:color w:val="auto"/>
              </w:rPr>
            </w:pPr>
            <w:r>
              <w:rPr>
                <w:color w:val="auto"/>
              </w:rPr>
              <w:t xml:space="preserve">1</w:t>
            </w:r>
            <w:r/>
          </w:p>
        </w:tc>
        <w:tc>
          <w:tcPr>
            <w:tcW w:w="1028" w:type="pct"/>
            <w:vAlign w:val="center"/>
            <w:textDirection w:val="lrTb"/>
            <w:noWrap w:val="false"/>
          </w:tcPr>
          <w:p>
            <w:pPr>
              <w:ind w:left="0"/>
              <w:jc w:val="center"/>
              <w:spacing w:line="240" w:lineRule="auto"/>
              <w:rPr>
                <w:color w:val="auto"/>
              </w:rPr>
            </w:pPr>
            <w:r>
              <w:rPr>
                <w:color w:val="auto"/>
              </w:rPr>
            </w:r>
            <w:r/>
          </w:p>
        </w:tc>
        <w:tc>
          <w:tcPr>
            <w:tcBorders>
              <w:right w:val="single" w:color="000000" w:sz="2" w:space="0"/>
            </w:tcBorders>
            <w:tcW w:w="1609" w:type="pct"/>
            <w:vAlign w:val="center"/>
            <w:textDirection w:val="lrTb"/>
            <w:noWrap w:val="false"/>
          </w:tcPr>
          <w:p>
            <w:pPr>
              <w:ind w:left="0"/>
              <w:jc w:val="center"/>
              <w:spacing w:line="240" w:lineRule="auto"/>
              <w:rPr>
                <w:color w:val="auto"/>
              </w:rPr>
            </w:pPr>
            <w:r>
              <w:rPr>
                <w:color w:val="auto"/>
              </w:rPr>
            </w:r>
            <w:r/>
          </w:p>
        </w:tc>
        <w:tc>
          <w:tcPr>
            <w:tcBorders>
              <w:left w:val="single" w:color="000000" w:sz="2" w:space="0"/>
            </w:tcBorders>
            <w:tcW w:w="930" w:type="pct"/>
            <w:vAlign w:val="center"/>
            <w:textDirection w:val="lrTb"/>
            <w:noWrap w:val="false"/>
          </w:tcPr>
          <w:p>
            <w:pPr>
              <w:ind w:left="0"/>
              <w:jc w:val="center"/>
              <w:spacing w:line="240" w:lineRule="auto"/>
              <w:rPr>
                <w:color w:val="auto"/>
              </w:rPr>
            </w:pPr>
            <w:r>
              <w:rPr>
                <w:color w:val="auto"/>
              </w:rPr>
            </w:r>
            <w:r/>
          </w:p>
        </w:tc>
        <w:tc>
          <w:tcPr>
            <w:tcW w:w="998" w:type="pct"/>
            <w:vAlign w:val="center"/>
            <w:textDirection w:val="lrTb"/>
            <w:noWrap w:val="false"/>
          </w:tcPr>
          <w:p>
            <w:pPr>
              <w:ind w:left="0"/>
              <w:jc w:val="center"/>
              <w:spacing w:line="240" w:lineRule="auto"/>
              <w:rPr>
                <w:color w:val="auto"/>
              </w:rPr>
            </w:pPr>
            <w:r>
              <w:rPr>
                <w:color w:val="auto"/>
              </w:rPr>
            </w:r>
            <w:r/>
          </w:p>
        </w:tc>
      </w:tr>
      <w:tr>
        <w:trPr>
          <w:trHeight w:val="795"/>
        </w:trPr>
        <w:tc>
          <w:tcPr>
            <w:tcW w:w="434" w:type="pct"/>
            <w:vAlign w:val="center"/>
            <w:textDirection w:val="lrTb"/>
            <w:noWrap w:val="false"/>
          </w:tcPr>
          <w:p>
            <w:pPr>
              <w:ind w:left="0"/>
              <w:jc w:val="center"/>
              <w:spacing w:line="240" w:lineRule="auto"/>
              <w:rPr>
                <w:color w:val="auto"/>
              </w:rPr>
            </w:pPr>
            <w:r>
              <w:rPr>
                <w:color w:val="auto"/>
              </w:rPr>
            </w:r>
            <w:r/>
          </w:p>
          <w:p>
            <w:pPr>
              <w:pStyle w:val="907"/>
              <w:ind w:left="0"/>
              <w:jc w:val="center"/>
              <w:spacing w:line="240" w:lineRule="auto"/>
              <w:rPr>
                <w:color w:val="auto"/>
              </w:rPr>
            </w:pPr>
            <w:r>
              <w:rPr>
                <w:color w:val="auto"/>
              </w:rPr>
              <w:t xml:space="preserve">2</w:t>
            </w:r>
            <w:r/>
          </w:p>
        </w:tc>
        <w:tc>
          <w:tcPr>
            <w:tcW w:w="1028" w:type="pct"/>
            <w:vAlign w:val="center"/>
            <w:textDirection w:val="lrTb"/>
            <w:noWrap w:val="false"/>
          </w:tcPr>
          <w:p>
            <w:pPr>
              <w:ind w:left="0"/>
              <w:jc w:val="center"/>
              <w:spacing w:line="240" w:lineRule="auto"/>
              <w:rPr>
                <w:color w:val="auto"/>
              </w:rPr>
            </w:pPr>
            <w:r>
              <w:rPr>
                <w:color w:val="auto"/>
              </w:rPr>
            </w:r>
            <w:r/>
          </w:p>
        </w:tc>
        <w:tc>
          <w:tcPr>
            <w:tcBorders>
              <w:right w:val="single" w:color="000000" w:sz="2" w:space="0"/>
            </w:tcBorders>
            <w:tcW w:w="1609" w:type="pct"/>
            <w:vAlign w:val="center"/>
            <w:textDirection w:val="lrTb"/>
            <w:noWrap w:val="false"/>
          </w:tcPr>
          <w:p>
            <w:pPr>
              <w:ind w:left="0"/>
              <w:jc w:val="center"/>
              <w:spacing w:line="240" w:lineRule="auto"/>
              <w:rPr>
                <w:color w:val="auto"/>
              </w:rPr>
            </w:pPr>
            <w:r>
              <w:rPr>
                <w:color w:val="auto"/>
              </w:rPr>
            </w:r>
            <w:r/>
          </w:p>
        </w:tc>
        <w:tc>
          <w:tcPr>
            <w:tcBorders>
              <w:left w:val="single" w:color="000000" w:sz="2" w:space="0"/>
            </w:tcBorders>
            <w:tcW w:w="930" w:type="pct"/>
            <w:vAlign w:val="center"/>
            <w:textDirection w:val="lrTb"/>
            <w:noWrap w:val="false"/>
          </w:tcPr>
          <w:p>
            <w:pPr>
              <w:ind w:left="0"/>
              <w:jc w:val="center"/>
              <w:spacing w:line="240" w:lineRule="auto"/>
              <w:rPr>
                <w:color w:val="auto"/>
              </w:rPr>
            </w:pPr>
            <w:r>
              <w:rPr>
                <w:color w:val="auto"/>
              </w:rPr>
            </w:r>
            <w:r/>
          </w:p>
        </w:tc>
        <w:tc>
          <w:tcPr>
            <w:tcW w:w="998" w:type="pct"/>
            <w:vAlign w:val="center"/>
            <w:textDirection w:val="lrTb"/>
            <w:noWrap w:val="false"/>
          </w:tcPr>
          <w:p>
            <w:pPr>
              <w:ind w:left="0"/>
              <w:jc w:val="center"/>
              <w:spacing w:line="240" w:lineRule="auto"/>
              <w:rPr>
                <w:color w:val="auto"/>
              </w:rPr>
            </w:pPr>
            <w:r>
              <w:rPr>
                <w:color w:val="auto"/>
              </w:rPr>
            </w:r>
            <w:r/>
          </w:p>
        </w:tc>
      </w:tr>
      <w:tr>
        <w:trPr>
          <w:trHeight w:val="795"/>
        </w:trPr>
        <w:tc>
          <w:tcPr>
            <w:tcW w:w="434" w:type="pct"/>
            <w:vAlign w:val="center"/>
            <w:textDirection w:val="lrTb"/>
            <w:noWrap w:val="false"/>
          </w:tcPr>
          <w:p>
            <w:pPr>
              <w:ind w:left="0"/>
              <w:jc w:val="center"/>
              <w:spacing w:line="240" w:lineRule="auto"/>
              <w:rPr>
                <w:color w:val="auto"/>
              </w:rPr>
            </w:pPr>
            <w:r>
              <w:rPr>
                <w:color w:val="auto"/>
              </w:rPr>
            </w:r>
            <w:r/>
          </w:p>
          <w:p>
            <w:pPr>
              <w:pStyle w:val="907"/>
              <w:ind w:left="0"/>
              <w:jc w:val="center"/>
              <w:spacing w:line="240" w:lineRule="auto"/>
              <w:rPr>
                <w:color w:val="auto"/>
              </w:rPr>
            </w:pPr>
            <w:r>
              <w:rPr>
                <w:color w:val="auto"/>
              </w:rPr>
              <w:t xml:space="preserve">3</w:t>
            </w:r>
            <w:r/>
          </w:p>
        </w:tc>
        <w:tc>
          <w:tcPr>
            <w:tcW w:w="1028" w:type="pct"/>
            <w:vAlign w:val="center"/>
            <w:textDirection w:val="lrTb"/>
            <w:noWrap w:val="false"/>
          </w:tcPr>
          <w:p>
            <w:pPr>
              <w:ind w:left="0"/>
              <w:jc w:val="center"/>
              <w:spacing w:line="240" w:lineRule="auto"/>
              <w:rPr>
                <w:color w:val="auto"/>
              </w:rPr>
            </w:pPr>
            <w:r>
              <w:rPr>
                <w:color w:val="auto"/>
              </w:rPr>
            </w:r>
            <w:r/>
          </w:p>
        </w:tc>
        <w:tc>
          <w:tcPr>
            <w:tcBorders>
              <w:right w:val="single" w:color="000000" w:sz="2" w:space="0"/>
            </w:tcBorders>
            <w:tcW w:w="1609" w:type="pct"/>
            <w:vAlign w:val="center"/>
            <w:textDirection w:val="lrTb"/>
            <w:noWrap w:val="false"/>
          </w:tcPr>
          <w:p>
            <w:pPr>
              <w:ind w:left="0"/>
              <w:jc w:val="center"/>
              <w:spacing w:line="240" w:lineRule="auto"/>
              <w:rPr>
                <w:color w:val="auto"/>
              </w:rPr>
            </w:pPr>
            <w:r>
              <w:rPr>
                <w:color w:val="auto"/>
              </w:rPr>
            </w:r>
            <w:r/>
          </w:p>
        </w:tc>
        <w:tc>
          <w:tcPr>
            <w:tcBorders>
              <w:left w:val="single" w:color="000000" w:sz="2" w:space="0"/>
            </w:tcBorders>
            <w:tcW w:w="930" w:type="pct"/>
            <w:vAlign w:val="center"/>
            <w:textDirection w:val="lrTb"/>
            <w:noWrap w:val="false"/>
          </w:tcPr>
          <w:p>
            <w:pPr>
              <w:ind w:left="0"/>
              <w:jc w:val="center"/>
              <w:spacing w:line="240" w:lineRule="auto"/>
              <w:rPr>
                <w:color w:val="auto"/>
              </w:rPr>
            </w:pPr>
            <w:r>
              <w:rPr>
                <w:color w:val="auto"/>
              </w:rPr>
            </w:r>
            <w:r/>
          </w:p>
        </w:tc>
        <w:tc>
          <w:tcPr>
            <w:tcW w:w="998" w:type="pct"/>
            <w:vAlign w:val="center"/>
            <w:textDirection w:val="lrTb"/>
            <w:noWrap w:val="false"/>
          </w:tcPr>
          <w:p>
            <w:pPr>
              <w:ind w:left="0"/>
              <w:jc w:val="center"/>
              <w:spacing w:line="240" w:lineRule="auto"/>
              <w:rPr>
                <w:color w:val="auto"/>
              </w:rPr>
            </w:pPr>
            <w:r>
              <w:rPr>
                <w:color w:val="auto"/>
              </w:rPr>
            </w:r>
            <w:r/>
          </w:p>
        </w:tc>
      </w:tr>
      <w:tr>
        <w:trPr>
          <w:trHeight w:val="796"/>
        </w:trPr>
        <w:tc>
          <w:tcPr>
            <w:tcW w:w="434" w:type="pct"/>
            <w:vAlign w:val="center"/>
            <w:textDirection w:val="lrTb"/>
            <w:noWrap w:val="false"/>
          </w:tcPr>
          <w:p>
            <w:pPr>
              <w:pStyle w:val="907"/>
              <w:ind w:left="0"/>
              <w:jc w:val="center"/>
              <w:spacing w:line="240" w:lineRule="auto"/>
              <w:rPr>
                <w:color w:val="auto"/>
              </w:rPr>
            </w:pPr>
            <w:r>
              <w:rPr>
                <w:color w:val="auto"/>
              </w:rPr>
              <w:t xml:space="preserve">4</w:t>
            </w:r>
            <w:r/>
          </w:p>
        </w:tc>
        <w:tc>
          <w:tcPr>
            <w:tcW w:w="1028" w:type="pct"/>
            <w:vAlign w:val="center"/>
            <w:textDirection w:val="lrTb"/>
            <w:noWrap w:val="false"/>
          </w:tcPr>
          <w:p>
            <w:pPr>
              <w:ind w:left="0"/>
              <w:jc w:val="center"/>
              <w:spacing w:line="240" w:lineRule="auto"/>
              <w:rPr>
                <w:color w:val="auto"/>
              </w:rPr>
            </w:pPr>
            <w:r>
              <w:rPr>
                <w:color w:val="auto"/>
              </w:rPr>
            </w:r>
            <w:r/>
          </w:p>
        </w:tc>
        <w:tc>
          <w:tcPr>
            <w:tcBorders>
              <w:right w:val="single" w:color="000000" w:sz="2" w:space="0"/>
            </w:tcBorders>
            <w:tcW w:w="1609" w:type="pct"/>
            <w:vAlign w:val="center"/>
            <w:textDirection w:val="lrTb"/>
            <w:noWrap w:val="false"/>
          </w:tcPr>
          <w:p>
            <w:pPr>
              <w:ind w:left="0"/>
              <w:jc w:val="center"/>
              <w:spacing w:line="240" w:lineRule="auto"/>
              <w:rPr>
                <w:color w:val="auto"/>
              </w:rPr>
            </w:pPr>
            <w:r>
              <w:rPr>
                <w:color w:val="auto"/>
              </w:rPr>
            </w:r>
            <w:r/>
          </w:p>
        </w:tc>
        <w:tc>
          <w:tcPr>
            <w:tcBorders>
              <w:left w:val="single" w:color="000000" w:sz="2" w:space="0"/>
            </w:tcBorders>
            <w:tcW w:w="930" w:type="pct"/>
            <w:vAlign w:val="center"/>
            <w:textDirection w:val="lrTb"/>
            <w:noWrap w:val="false"/>
          </w:tcPr>
          <w:p>
            <w:pPr>
              <w:ind w:left="0"/>
              <w:jc w:val="center"/>
              <w:spacing w:line="240" w:lineRule="auto"/>
              <w:rPr>
                <w:color w:val="auto"/>
              </w:rPr>
            </w:pPr>
            <w:r>
              <w:rPr>
                <w:color w:val="auto"/>
              </w:rPr>
            </w:r>
            <w:r/>
          </w:p>
        </w:tc>
        <w:tc>
          <w:tcPr>
            <w:tcW w:w="998" w:type="pct"/>
            <w:vAlign w:val="center"/>
            <w:textDirection w:val="lrTb"/>
            <w:noWrap w:val="false"/>
          </w:tcPr>
          <w:p>
            <w:pPr>
              <w:ind w:left="0"/>
              <w:jc w:val="center"/>
              <w:spacing w:line="240" w:lineRule="auto"/>
              <w:rPr>
                <w:color w:val="auto"/>
              </w:rPr>
            </w:pPr>
            <w:r>
              <w:rPr>
                <w:color w:val="auto"/>
              </w:rPr>
            </w:r>
            <w:r/>
          </w:p>
        </w:tc>
      </w:tr>
      <w:tr>
        <w:trPr>
          <w:trHeight w:val="795"/>
        </w:trPr>
        <w:tc>
          <w:tcPr>
            <w:tcW w:w="434" w:type="pct"/>
            <w:vAlign w:val="center"/>
            <w:textDirection w:val="lrTb"/>
            <w:noWrap w:val="false"/>
          </w:tcPr>
          <w:p>
            <w:pPr>
              <w:pStyle w:val="907"/>
              <w:ind w:left="0"/>
              <w:jc w:val="center"/>
              <w:spacing w:line="240" w:lineRule="auto"/>
              <w:rPr>
                <w:color w:val="auto"/>
              </w:rPr>
            </w:pPr>
            <w:r>
              <w:rPr>
                <w:color w:val="auto"/>
              </w:rPr>
              <w:t xml:space="preserve">5</w:t>
            </w:r>
            <w:r/>
          </w:p>
        </w:tc>
        <w:tc>
          <w:tcPr>
            <w:tcW w:w="1028" w:type="pct"/>
            <w:vAlign w:val="center"/>
            <w:textDirection w:val="lrTb"/>
            <w:noWrap w:val="false"/>
          </w:tcPr>
          <w:p>
            <w:pPr>
              <w:ind w:left="0"/>
              <w:jc w:val="center"/>
              <w:spacing w:line="240" w:lineRule="auto"/>
              <w:rPr>
                <w:color w:val="auto"/>
              </w:rPr>
            </w:pPr>
            <w:r>
              <w:rPr>
                <w:color w:val="auto"/>
              </w:rPr>
            </w:r>
            <w:r/>
          </w:p>
        </w:tc>
        <w:tc>
          <w:tcPr>
            <w:tcBorders>
              <w:right w:val="single" w:color="000000" w:sz="2" w:space="0"/>
            </w:tcBorders>
            <w:tcW w:w="1609" w:type="pct"/>
            <w:vAlign w:val="center"/>
            <w:textDirection w:val="lrTb"/>
            <w:noWrap w:val="false"/>
          </w:tcPr>
          <w:p>
            <w:pPr>
              <w:ind w:left="0"/>
              <w:jc w:val="center"/>
              <w:spacing w:line="240" w:lineRule="auto"/>
              <w:rPr>
                <w:color w:val="auto"/>
              </w:rPr>
            </w:pPr>
            <w:r>
              <w:rPr>
                <w:color w:val="auto"/>
              </w:rPr>
            </w:r>
            <w:r/>
          </w:p>
        </w:tc>
        <w:tc>
          <w:tcPr>
            <w:tcBorders>
              <w:left w:val="single" w:color="000000" w:sz="2" w:space="0"/>
            </w:tcBorders>
            <w:tcW w:w="930" w:type="pct"/>
            <w:vAlign w:val="center"/>
            <w:textDirection w:val="lrTb"/>
            <w:noWrap w:val="false"/>
          </w:tcPr>
          <w:p>
            <w:pPr>
              <w:ind w:left="0"/>
              <w:jc w:val="center"/>
              <w:spacing w:line="240" w:lineRule="auto"/>
              <w:rPr>
                <w:color w:val="auto"/>
              </w:rPr>
            </w:pPr>
            <w:r>
              <w:rPr>
                <w:color w:val="auto"/>
              </w:rPr>
            </w:r>
            <w:r/>
          </w:p>
        </w:tc>
        <w:tc>
          <w:tcPr>
            <w:tcW w:w="998" w:type="pct"/>
            <w:vAlign w:val="center"/>
            <w:textDirection w:val="lrTb"/>
            <w:noWrap w:val="false"/>
          </w:tcPr>
          <w:p>
            <w:pPr>
              <w:ind w:left="0"/>
              <w:jc w:val="center"/>
              <w:spacing w:line="240" w:lineRule="auto"/>
              <w:rPr>
                <w:color w:val="auto"/>
              </w:rPr>
            </w:pPr>
            <w:r>
              <w:rPr>
                <w:color w:val="auto"/>
              </w:rPr>
            </w:r>
            <w:r/>
          </w:p>
        </w:tc>
      </w:tr>
      <w:tr>
        <w:trPr>
          <w:trHeight w:val="818"/>
        </w:trPr>
        <w:tc>
          <w:tcPr>
            <w:tcW w:w="434" w:type="pct"/>
            <w:vAlign w:val="center"/>
            <w:textDirection w:val="lrTb"/>
            <w:noWrap w:val="false"/>
          </w:tcPr>
          <w:p>
            <w:pPr>
              <w:pStyle w:val="907"/>
              <w:ind w:left="0"/>
              <w:jc w:val="center"/>
              <w:spacing w:line="240" w:lineRule="auto"/>
              <w:rPr>
                <w:color w:val="auto"/>
              </w:rPr>
            </w:pPr>
            <w:r>
              <w:rPr>
                <w:color w:val="auto"/>
                <w:position w:val="3"/>
              </w:rPr>
              <w:t xml:space="preserve">…</w:t>
            </w:r>
            <w:r/>
          </w:p>
        </w:tc>
        <w:tc>
          <w:tcPr>
            <w:tcW w:w="1028" w:type="pct"/>
            <w:vAlign w:val="center"/>
            <w:textDirection w:val="lrTb"/>
            <w:noWrap w:val="false"/>
          </w:tcPr>
          <w:p>
            <w:pPr>
              <w:ind w:left="0"/>
              <w:jc w:val="center"/>
              <w:spacing w:line="240" w:lineRule="auto"/>
              <w:rPr>
                <w:color w:val="auto"/>
              </w:rPr>
            </w:pPr>
            <w:r>
              <w:rPr>
                <w:color w:val="auto"/>
              </w:rPr>
            </w:r>
            <w:r/>
          </w:p>
        </w:tc>
        <w:tc>
          <w:tcPr>
            <w:tcBorders>
              <w:right w:val="single" w:color="000000" w:sz="2" w:space="0"/>
            </w:tcBorders>
            <w:tcW w:w="1609" w:type="pct"/>
            <w:vAlign w:val="center"/>
            <w:textDirection w:val="lrTb"/>
            <w:noWrap w:val="false"/>
          </w:tcPr>
          <w:p>
            <w:pPr>
              <w:ind w:left="0"/>
              <w:jc w:val="center"/>
              <w:spacing w:line="240" w:lineRule="auto"/>
              <w:rPr>
                <w:color w:val="auto"/>
              </w:rPr>
            </w:pPr>
            <w:r>
              <w:rPr>
                <w:color w:val="auto"/>
              </w:rPr>
            </w:r>
            <w:r/>
          </w:p>
        </w:tc>
        <w:tc>
          <w:tcPr>
            <w:tcBorders>
              <w:left w:val="single" w:color="000000" w:sz="2" w:space="0"/>
            </w:tcBorders>
            <w:tcW w:w="930" w:type="pct"/>
            <w:vAlign w:val="center"/>
            <w:textDirection w:val="lrTb"/>
            <w:noWrap w:val="false"/>
          </w:tcPr>
          <w:p>
            <w:pPr>
              <w:ind w:left="0"/>
              <w:jc w:val="center"/>
              <w:spacing w:line="240" w:lineRule="auto"/>
              <w:rPr>
                <w:color w:val="auto"/>
              </w:rPr>
            </w:pPr>
            <w:r>
              <w:rPr>
                <w:color w:val="auto"/>
              </w:rPr>
            </w:r>
            <w:r/>
          </w:p>
        </w:tc>
        <w:tc>
          <w:tcPr>
            <w:tcW w:w="998" w:type="pct"/>
            <w:vAlign w:val="center"/>
            <w:textDirection w:val="lrTb"/>
            <w:noWrap w:val="false"/>
          </w:tcPr>
          <w:p>
            <w:pPr>
              <w:ind w:left="0"/>
              <w:jc w:val="center"/>
              <w:spacing w:line="240" w:lineRule="auto"/>
              <w:rPr>
                <w:color w:val="auto"/>
              </w:rPr>
            </w:pPr>
            <w:r>
              <w:rPr>
                <w:color w:val="auto"/>
              </w:rPr>
            </w:r>
            <w:r/>
          </w:p>
        </w:tc>
      </w:tr>
    </w:tbl>
    <w:p>
      <w:pPr>
        <w:jc w:val="both"/>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jc w:val="both"/>
        <w:keepNext w:val="0"/>
        <w:pageBreakBefore w:val="0"/>
        <w:spacing w:line="360" w:lineRule="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u w:val="single"/>
          <w:lang w:val="en-US" w:eastAsia="zh-CN"/>
        </w:rPr>
        <w:t xml:space="preserve">（加盖CA电子公章）</w:t>
      </w:r>
      <w:r/>
    </w:p>
    <w:p>
      <w:pPr>
        <w:jc w:val="both"/>
        <w:keepNext w:val="0"/>
        <w:pageBreakBefore w:val="0"/>
        <w:spacing w:line="360" w:lineRule="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u w:val="single"/>
          <w:lang w:val="en-US" w:eastAsia="zh-CN"/>
        </w:rPr>
      </w:r>
      <w:r/>
    </w:p>
    <w:p>
      <w:pPr>
        <w:jc w:val="both"/>
        <w:keepNext w:val="0"/>
        <w:pageBreakBefore w:val="0"/>
        <w:spacing w:line="360" w:lineRule="auto"/>
        <w:rPr>
          <w:rFonts w:hint="eastAsia" w:ascii="宋体" w:hAnsi="宋体" w:cs="仿宋"/>
          <w:b/>
          <w:bCs/>
          <w:color w:val="000000"/>
          <w:sz w:val="24"/>
          <w:szCs w:val="24"/>
        </w:rPr>
      </w:pPr>
      <w:r>
        <w:rPr>
          <w:rFonts w:hint="eastAsia" w:ascii="宋体" w:hAnsi="宋体" w:cs="仿宋"/>
          <w:b/>
          <w:bCs/>
          <w:color w:val="000000"/>
          <w:sz w:val="24"/>
          <w:szCs w:val="24"/>
        </w:rPr>
        <w:t xml:space="preserve">注：后附合同等相关材料，具体按评分标准的要求提供。</w:t>
      </w:r>
      <w:r/>
    </w:p>
    <w:p>
      <w:pPr>
        <w:jc w:val="both"/>
        <w:keepNext w:val="0"/>
        <w:pageBreakBefore w:val="0"/>
        <w:spacing w:line="360" w:lineRule="auto"/>
        <w:rPr>
          <w:rFonts w:hint="eastAsia" w:ascii="宋体" w:hAnsi="宋体" w:cs="仿宋"/>
          <w:b/>
          <w:bCs/>
          <w:color w:val="000000"/>
          <w:sz w:val="32"/>
          <w:szCs w:val="32"/>
          <w:lang w:val="en-US" w:eastAsia="zh-CN"/>
        </w:rPr>
      </w:pPr>
      <w:r>
        <w:rPr>
          <w:rFonts w:hint="eastAsia" w:ascii="宋体" w:hAnsi="宋体" w:cs="仿宋"/>
          <w:b/>
          <w:bCs/>
          <w:color w:val="000000"/>
          <w:sz w:val="32"/>
          <w:szCs w:val="32"/>
          <w:lang w:val="en-US" w:eastAsia="zh-CN"/>
        </w:rPr>
        <w:br w:type="page" w:clear="all"/>
      </w:r>
      <w:r>
        <w:rPr>
          <w:rFonts w:hint="eastAsia" w:ascii="宋体" w:hAnsi="宋体" w:cs="仿宋"/>
          <w:b/>
          <w:bCs/>
          <w:color w:val="000000"/>
          <w:sz w:val="32"/>
          <w:szCs w:val="32"/>
          <w:lang w:val="en-US" w:eastAsia="zh-CN"/>
        </w:rPr>
        <w:t xml:space="preserve">示范格式</w:t>
      </w:r>
      <w:r/>
    </w:p>
    <w:p>
      <w:pPr>
        <w:spacing w:line="520" w:lineRule="exact"/>
        <w:rPr>
          <w:rFonts w:ascii="宋体" w:hAnsi="宋体"/>
          <w:b/>
          <w:sz w:val="24"/>
          <w:szCs w:val="24"/>
        </w:rPr>
      </w:pPr>
      <w:r>
        <w:rPr>
          <w:rFonts w:hint="eastAsia" w:ascii="宋体" w:hAnsi="宋体"/>
          <w:b/>
          <w:sz w:val="24"/>
          <w:szCs w:val="24"/>
          <w:lang w:val="en-US" w:eastAsia="zh-CN"/>
        </w:rPr>
        <w:t xml:space="preserve">示范格式</w:t>
      </w:r>
      <w:r>
        <w:rPr>
          <w:rFonts w:ascii="宋体" w:hAnsi="宋体"/>
          <w:b/>
          <w:sz w:val="24"/>
          <w:szCs w:val="24"/>
        </w:rPr>
        <w:t xml:space="preserve">1</w:t>
      </w:r>
      <w:r/>
    </w:p>
    <w:p>
      <w:pPr>
        <w:jc w:val="center"/>
        <w:spacing w:line="520" w:lineRule="exact"/>
        <w:rPr>
          <w:rFonts w:hint="eastAsia" w:ascii="宋体" w:hAnsi="宋体" w:eastAsia="宋体"/>
          <w:b/>
          <w:sz w:val="28"/>
          <w:szCs w:val="28"/>
          <w:lang w:val="en-US" w:eastAsia="zh-CN"/>
        </w:rPr>
      </w:pPr>
      <w:r>
        <w:rPr>
          <w:rFonts w:hint="eastAsia" w:ascii="宋体" w:hAnsi="宋体"/>
          <w:b/>
          <w:sz w:val="28"/>
          <w:szCs w:val="28"/>
          <w:lang w:val="en-US" w:eastAsia="zh-CN"/>
        </w:rPr>
        <w:t xml:space="preserve">承诺书</w:t>
      </w:r>
      <w:r/>
    </w:p>
    <w:p>
      <w:pPr>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致</w:t>
      </w:r>
      <w:r>
        <w:rPr>
          <w:rFonts w:hint="eastAsia" w:ascii="宋体" w:hAnsi="宋体" w:eastAsia="宋体" w:cs="宋体"/>
          <w:color w:val="auto"/>
          <w:sz w:val="24"/>
          <w:szCs w:val="24"/>
          <w:u w:val="single"/>
          <w:lang w:val="en-US" w:eastAsia="zh-CN" w:bidi="ar-SA"/>
        </w:rPr>
        <w:t xml:space="preserve">   （</w:t>
      </w:r>
      <w:r>
        <w:rPr>
          <w:rFonts w:hint="eastAsia" w:ascii="宋体" w:hAnsi="宋体" w:cs="宋体"/>
          <w:color w:val="auto"/>
          <w:sz w:val="24"/>
          <w:szCs w:val="24"/>
          <w:u w:val="single"/>
          <w:lang w:val="en-US" w:eastAsia="zh-CN" w:bidi="ar-SA"/>
        </w:rPr>
        <w:t xml:space="preserve">采购人</w:t>
      </w:r>
      <w:r>
        <w:rPr>
          <w:rFonts w:hint="eastAsia" w:ascii="宋体" w:hAnsi="宋体" w:eastAsia="宋体" w:cs="宋体"/>
          <w:color w:val="auto"/>
          <w:sz w:val="24"/>
          <w:szCs w:val="24"/>
          <w:u w:val="single"/>
          <w:lang w:val="en-US" w:eastAsia="zh-CN" w:bidi="ar-SA"/>
        </w:rPr>
        <w:t xml:space="preserve">名称） </w:t>
      </w:r>
      <w:r>
        <w:rPr>
          <w:rFonts w:hint="eastAsia" w:ascii="宋体" w:hAnsi="宋体" w:eastAsia="宋体" w:cs="宋体"/>
          <w:color w:val="auto"/>
          <w:sz w:val="24"/>
          <w:szCs w:val="24"/>
          <w:lang w:val="en-US" w:eastAsia="zh-CN" w:bidi="ar-SA"/>
        </w:rPr>
        <w:t xml:space="preserve">：</w:t>
      </w:r>
      <w:r/>
    </w:p>
    <w:p>
      <w:pPr>
        <w:ind w:firstLine="72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我公司参加贵单位组织实施的（项目编号</w:t>
      </w: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采购项目的政府采购活动。针对《中华人民共和国政府采购法》第二十二条规定做出如下声明：</w:t>
      </w:r>
      <w:r/>
    </w:p>
    <w:p>
      <w:pPr>
        <w:ind w:firstLine="480"/>
        <w:spacing w:line="520" w:lineRule="exact"/>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 xml:space="preserve">1.</w:t>
      </w:r>
      <w:r>
        <w:rPr>
          <w:rFonts w:hint="eastAsia" w:ascii="宋体" w:hAnsi="宋体" w:eastAsia="宋体" w:cs="宋体"/>
          <w:color w:val="auto"/>
          <w:sz w:val="24"/>
          <w:szCs w:val="24"/>
          <w:lang w:val="en-US" w:eastAsia="zh-CN" w:bidi="ar-SA"/>
        </w:rPr>
        <w:t xml:space="preserve">我单位具有独立承担民事责任的能力；</w:t>
      </w:r>
      <w:r/>
    </w:p>
    <w:p>
      <w:pPr>
        <w:ind w:firstLine="480"/>
        <w:spacing w:line="520" w:lineRule="exact"/>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 xml:space="preserve">2.</w:t>
      </w:r>
      <w:r>
        <w:rPr>
          <w:rFonts w:hint="eastAsia" w:ascii="宋体" w:hAnsi="宋体" w:eastAsia="宋体" w:cs="宋体"/>
          <w:color w:val="auto"/>
          <w:sz w:val="24"/>
          <w:szCs w:val="24"/>
          <w:lang w:val="en-US" w:eastAsia="zh-CN" w:bidi="ar-SA"/>
        </w:rPr>
        <w:t xml:space="preserve">我单位具有良好的商业信誉和健全的财务会计制度；</w:t>
      </w:r>
      <w:r/>
    </w:p>
    <w:p>
      <w:pPr>
        <w:ind w:firstLine="480"/>
        <w:spacing w:line="520" w:lineRule="exact"/>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 xml:space="preserve">3.</w:t>
      </w:r>
      <w:r>
        <w:rPr>
          <w:rFonts w:hint="eastAsia" w:ascii="宋体" w:hAnsi="宋体" w:eastAsia="宋体" w:cs="宋体"/>
          <w:color w:val="auto"/>
          <w:sz w:val="24"/>
          <w:szCs w:val="24"/>
          <w:lang w:val="en-US" w:eastAsia="zh-CN" w:bidi="ar-SA"/>
        </w:rPr>
        <w:t xml:space="preserve">我单位具有履行合同所必需的设备和专业技术能力；</w:t>
      </w:r>
      <w:r/>
    </w:p>
    <w:p>
      <w:pPr>
        <w:ind w:firstLine="480"/>
        <w:spacing w:line="520" w:lineRule="exact"/>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 xml:space="preserve">4.</w:t>
      </w:r>
      <w:r>
        <w:rPr>
          <w:rFonts w:hint="eastAsia" w:ascii="宋体" w:hAnsi="宋体" w:eastAsia="宋体" w:cs="宋体"/>
          <w:color w:val="auto"/>
          <w:sz w:val="24"/>
          <w:szCs w:val="24"/>
          <w:lang w:val="en-US" w:eastAsia="zh-CN" w:bidi="ar-SA"/>
        </w:rPr>
        <w:t xml:space="preserve">我单位有依法缴纳税收和社会保障资金的良好记录；</w:t>
      </w:r>
      <w:r/>
    </w:p>
    <w:p>
      <w:pPr>
        <w:ind w:firstLine="480"/>
        <w:jc w:val="left"/>
        <w:spacing w:line="640" w:lineRule="exact"/>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 xml:space="preserve">5.</w:t>
      </w:r>
      <w:r>
        <w:rPr>
          <w:rFonts w:hint="eastAsia" w:ascii="宋体" w:hAnsi="宋体" w:eastAsia="宋体" w:cs="宋体"/>
          <w:color w:val="auto"/>
          <w:sz w:val="24"/>
          <w:szCs w:val="24"/>
          <w:lang w:val="en-US" w:eastAsia="zh-CN" w:bidi="ar-SA"/>
        </w:rPr>
        <w:t xml:space="preserve">参加本次政府采购活动前三年内，我公司在经营活动中没有因违法经营受到刑事处罚或者责令停产停业、吊销许可证或者执照、较大数额罚款等行政处罚。</w:t>
      </w:r>
      <w:r/>
    </w:p>
    <w:p>
      <w:pPr>
        <w:ind w:firstLine="480"/>
        <w:jc w:val="left"/>
        <w:spacing w:line="640" w:lineRule="exact"/>
        <w:rPr>
          <w:rFonts w:hint="eastAsia" w:ascii="仿宋" w:hAnsi="仿宋" w:eastAsia="仿宋"/>
          <w:color w:val="auto"/>
          <w:sz w:val="28"/>
          <w:szCs w:val="28"/>
        </w:rPr>
      </w:pPr>
      <w:r>
        <w:rPr>
          <w:rFonts w:hint="eastAsia" w:ascii="宋体" w:hAnsi="宋体" w:cs="宋体"/>
          <w:color w:val="auto"/>
          <w:sz w:val="24"/>
          <w:szCs w:val="24"/>
          <w:lang w:val="en-US" w:eastAsia="zh-CN" w:bidi="ar-SA"/>
        </w:rPr>
        <w:t xml:space="preserve">6.</w:t>
      </w:r>
      <w:r>
        <w:rPr>
          <w:rFonts w:hint="eastAsia" w:ascii="宋体" w:hAnsi="宋体" w:eastAsia="宋体" w:cs="宋体"/>
          <w:color w:val="auto"/>
          <w:sz w:val="24"/>
          <w:szCs w:val="24"/>
          <w:lang w:val="en-US" w:eastAsia="zh-CN" w:bidi="ar-SA"/>
        </w:rPr>
        <w:t xml:space="preserve">我单位满足法律、行政法规规定的其他条件。</w:t>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ind w:firstLine="4800"/>
        <w:jc w:val="both"/>
        <w:keepNext w:val="0"/>
        <w:pageBreakBefore w:val="0"/>
        <w:spacing w:line="360" w:lineRule="auto"/>
        <w:rPr>
          <w:rFonts w:hint="eastAsia" w:ascii="宋体" w:hAnsi="宋体" w:cs="宋体"/>
          <w:color w:val="auto"/>
          <w:sz w:val="24"/>
          <w:szCs w:val="24"/>
          <w:u w:val="single"/>
          <w:lang w:val="en-US" w:eastAsia="zh-CN"/>
        </w:rPr>
      </w:pPr>
      <w:r>
        <w:rPr>
          <w:rFonts w:hint="eastAsia" w:ascii="宋体" w:hAnsi="宋体" w:cs="宋体"/>
          <w:color w:val="auto"/>
          <w:sz w:val="24"/>
          <w:szCs w:val="24"/>
          <w:lang w:eastAsia="zh-CN"/>
        </w:rPr>
        <w:t xml:space="preserve">投标人：</w:t>
      </w:r>
      <w:r>
        <w:rPr>
          <w:rFonts w:hint="eastAsia" w:ascii="宋体" w:hAnsi="宋体" w:cs="宋体"/>
          <w:color w:val="auto"/>
          <w:sz w:val="24"/>
          <w:szCs w:val="24"/>
          <w:u w:val="single"/>
          <w:lang w:val="en-US" w:eastAsia="zh-CN"/>
        </w:rPr>
        <w:t xml:space="preserve">（加盖CA电子公章）</w:t>
      </w:r>
      <w:r/>
    </w:p>
    <w:p>
      <w:pPr>
        <w:ind w:firstLine="4800"/>
        <w:jc w:val="both"/>
        <w:keepNext w:val="0"/>
        <w:pageBreakBefore w:val="0"/>
        <w:spacing w:line="360" w:lineRule="auto"/>
        <w:rPr>
          <w:rFonts w:hint="eastAsia" w:ascii="宋体" w:hAnsi="宋体" w:eastAsia="宋体"/>
          <w:b/>
          <w:sz w:val="24"/>
          <w:szCs w:val="24"/>
          <w:lang w:eastAsia="zh-CN"/>
        </w:rPr>
      </w:pPr>
      <w:r>
        <w:rPr>
          <w:rFonts w:hint="eastAsia" w:ascii="宋体" w:hAnsi="宋体" w:eastAsia="宋体" w:cs="宋体"/>
          <w:color w:val="auto"/>
          <w:sz w:val="24"/>
          <w:szCs w:val="24"/>
          <w:u w:val="none"/>
          <w:lang w:val="en-US" w:eastAsia="zh-CN"/>
        </w:rPr>
        <w:t xml:space="preserve">日期：</w:t>
      </w:r>
      <w:r>
        <w:rPr>
          <w:rFonts w:hint="eastAsia" w:ascii="宋体" w:hAnsi="宋体" w:eastAsia="宋体" w:cs="宋体"/>
          <w:color w:val="auto"/>
          <w:sz w:val="24"/>
          <w:szCs w:val="24"/>
          <w:u w:val="single"/>
          <w:lang w:val="en-US" w:eastAsia="zh-CN"/>
        </w:rPr>
        <w:t xml:space="preserve">                     </w:t>
      </w:r>
      <w:r>
        <w:rPr>
          <w:rFonts w:hint="eastAsia" w:ascii="宋体" w:hAnsi="宋体"/>
          <w:b/>
          <w:sz w:val="24"/>
          <w:szCs w:val="24"/>
        </w:rPr>
        <w:br w:type="page" w:clear="all"/>
      </w:r>
      <w:r>
        <w:rPr>
          <w:rFonts w:hint="eastAsia" w:ascii="宋体" w:hAnsi="宋体"/>
          <w:b/>
          <w:sz w:val="24"/>
          <w:szCs w:val="24"/>
          <w:lang w:val="en-US" w:eastAsia="zh-CN"/>
        </w:rPr>
        <w:t xml:space="preserve">示范格式2</w:t>
      </w:r>
      <w:r/>
    </w:p>
    <w:p>
      <w:pPr>
        <w:jc w:val="center"/>
        <w:keepNext w:val="0"/>
        <w:pageBreakBefore w:val="0"/>
        <w:spacing w:line="360" w:lineRule="auto"/>
        <w:rPr>
          <w:rFonts w:hint="eastAsia" w:ascii="宋体" w:hAnsi="宋体"/>
          <w:b/>
          <w:sz w:val="28"/>
          <w:szCs w:val="28"/>
          <w:lang w:val="en-US" w:eastAsia="zh-CN"/>
        </w:rPr>
      </w:pPr>
      <w:r>
        <w:rPr>
          <w:rFonts w:hint="eastAsia" w:ascii="宋体" w:hAnsi="宋体"/>
          <w:b/>
          <w:sz w:val="28"/>
          <w:szCs w:val="28"/>
          <w:lang w:val="en-US" w:eastAsia="zh-CN"/>
        </w:rPr>
        <w:t xml:space="preserve">承诺书</w:t>
      </w:r>
      <w:r/>
    </w:p>
    <w:p>
      <w:pPr>
        <w:spacing w:line="440" w:lineRule="exact"/>
        <w:rPr>
          <w:rFonts w:hint="eastAsia" w:ascii="宋体" w:hAnsi="宋体" w:cs="宋体"/>
          <w:color w:val="auto"/>
          <w:sz w:val="24"/>
        </w:rPr>
      </w:pPr>
      <w:r>
        <w:rPr>
          <w:rFonts w:hint="eastAsia" w:ascii="宋体" w:hAnsi="宋体" w:cs="宋体"/>
          <w:color w:val="auto"/>
          <w:sz w:val="24"/>
        </w:rPr>
        <w:t xml:space="preserve">我单位参加本次采购活动，</w:t>
      </w:r>
      <w:r>
        <w:rPr>
          <w:rFonts w:hint="eastAsia" w:ascii="宋体" w:hAnsi="宋体" w:cs="宋体"/>
          <w:color w:val="auto"/>
          <w:sz w:val="24"/>
          <w:lang w:eastAsia="zh-CN"/>
        </w:rPr>
        <w:t xml:space="preserve">不</w:t>
      </w:r>
      <w:r>
        <w:rPr>
          <w:rFonts w:hint="eastAsia" w:ascii="宋体" w:hAnsi="宋体" w:cs="宋体"/>
          <w:color w:val="auto"/>
          <w:sz w:val="24"/>
        </w:rPr>
        <w:t xml:space="preserve">存在以下情形，承诺如下：</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（1）供应商单位负责人为同一人或者存在直接控股、管理关系的不同供应商，不得同时参加同一合同项下的政府采购活动；</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（2）凡为采购项目提供整体设计、规范编制或者项目管理、监理、检测等服务的供应商，不得再参加本项目的采购活动；</w:t>
      </w:r>
      <w:r/>
    </w:p>
    <w:p>
      <w:pPr>
        <w:ind w:firstLine="480"/>
        <w:spacing w:line="440" w:lineRule="exact"/>
        <w:rPr>
          <w:rFonts w:hint="eastAsia" w:ascii="仿宋" w:hAnsi="仿宋" w:eastAsia="仿宋"/>
          <w:color w:val="auto"/>
          <w:sz w:val="28"/>
          <w:szCs w:val="28"/>
        </w:rPr>
      </w:pPr>
      <w:r>
        <w:rPr>
          <w:rFonts w:hint="eastAsia" w:ascii="宋体" w:hAnsi="宋体" w:cs="宋体"/>
          <w:color w:val="auto"/>
          <w:sz w:val="24"/>
        </w:rPr>
        <w:t xml:space="preserve">（3）“列入失信被执行人、重大税收违法案件当事人名单、政府采购严重违法失信行为记录名单中的供应商不得参加本项目的采购活动”</w:t>
      </w:r>
      <w:r>
        <w:rPr>
          <w:rFonts w:hint="eastAsia" w:ascii="宋体" w:hAnsi="宋体" w:cs="宋体"/>
          <w:color w:val="auto"/>
          <w:sz w:val="24"/>
          <w:lang w:eastAsia="zh-CN"/>
        </w:rPr>
        <w:t xml:space="preserve">。</w:t>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ind w:firstLine="4800"/>
        <w:jc w:val="both"/>
        <w:keepNext w:val="0"/>
        <w:pageBreakBefore w:val="0"/>
        <w:spacing w:line="360" w:lineRule="auto"/>
        <w:rPr>
          <w:rFonts w:hint="eastAsia" w:ascii="宋体" w:hAnsi="宋体" w:cs="宋体"/>
          <w:color w:val="auto"/>
          <w:sz w:val="24"/>
          <w:szCs w:val="24"/>
          <w:u w:val="single"/>
          <w:lang w:val="en-US" w:eastAsia="zh-CN"/>
        </w:rPr>
      </w:pPr>
      <w:r>
        <w:rPr>
          <w:rFonts w:hint="eastAsia" w:ascii="宋体" w:hAnsi="宋体" w:cs="宋体"/>
          <w:color w:val="auto"/>
          <w:sz w:val="24"/>
          <w:szCs w:val="24"/>
          <w:lang w:eastAsia="zh-CN"/>
        </w:rPr>
        <w:t xml:space="preserve">投标人：</w:t>
      </w:r>
      <w:r>
        <w:rPr>
          <w:rFonts w:hint="eastAsia" w:ascii="宋体" w:hAnsi="宋体" w:cs="宋体"/>
          <w:color w:val="auto"/>
          <w:sz w:val="24"/>
          <w:szCs w:val="24"/>
          <w:u w:val="single"/>
          <w:lang w:val="en-US" w:eastAsia="zh-CN"/>
        </w:rPr>
        <w:t xml:space="preserve">（加盖CA电子公章）</w:t>
      </w:r>
      <w:r/>
    </w:p>
    <w:p>
      <w:pPr>
        <w:ind w:firstLine="4800"/>
        <w:jc w:val="both"/>
        <w:keepNext w:val="0"/>
        <w:pageBreakBefore w:val="0"/>
        <w:spacing w:line="360" w:lineRule="auto"/>
        <w:rPr>
          <w:rFonts w:hint="eastAsia" w:ascii="宋体" w:hAnsi="宋体" w:eastAsia="宋体"/>
          <w:b/>
          <w:sz w:val="24"/>
          <w:szCs w:val="24"/>
          <w:lang w:eastAsia="zh-CN"/>
        </w:rPr>
      </w:pPr>
      <w:r>
        <w:rPr>
          <w:rFonts w:hint="eastAsia" w:ascii="宋体" w:hAnsi="宋体" w:eastAsia="宋体" w:cs="宋体"/>
          <w:color w:val="auto"/>
          <w:sz w:val="24"/>
          <w:szCs w:val="24"/>
          <w:u w:val="none"/>
          <w:lang w:val="en-US" w:eastAsia="zh-CN"/>
        </w:rPr>
        <w:t xml:space="preserve">日期：</w:t>
      </w:r>
      <w:r>
        <w:rPr>
          <w:rFonts w:hint="eastAsia" w:ascii="宋体" w:hAnsi="宋体" w:eastAsia="宋体" w:cs="宋体"/>
          <w:color w:val="auto"/>
          <w:sz w:val="24"/>
          <w:szCs w:val="24"/>
          <w:u w:val="single"/>
          <w:lang w:val="en-US" w:eastAsia="zh-CN"/>
        </w:rPr>
        <w:t xml:space="preserve">                     </w:t>
      </w:r>
      <w:r>
        <w:rPr>
          <w:rFonts w:hint="eastAsia" w:ascii="宋体" w:hAnsi="宋体"/>
          <w:b/>
          <w:sz w:val="24"/>
          <w:szCs w:val="24"/>
        </w:rPr>
        <w:br w:type="page" w:clear="all"/>
      </w:r>
      <w:r>
        <w:rPr>
          <w:rFonts w:hint="eastAsia" w:ascii="宋体" w:hAnsi="宋体"/>
          <w:b/>
          <w:sz w:val="24"/>
          <w:szCs w:val="24"/>
          <w:lang w:val="en-US" w:eastAsia="zh-CN"/>
        </w:rPr>
        <w:t xml:space="preserve">示范格式3</w:t>
      </w:r>
      <w:r/>
    </w:p>
    <w:p>
      <w:pPr>
        <w:jc w:val="center"/>
        <w:spacing w:line="460" w:lineRule="exact"/>
        <w:rPr>
          <w:rFonts w:hint="eastAsia" w:ascii="宋体" w:hAnsi="宋体"/>
          <w:b/>
          <w:sz w:val="28"/>
          <w:szCs w:val="28"/>
          <w:lang w:val="en-US" w:eastAsia="zh-CN"/>
        </w:rPr>
      </w:pPr>
      <w:r>
        <w:rPr>
          <w:rFonts w:hint="eastAsia" w:ascii="宋体" w:hAnsi="宋体" w:eastAsia="宋体" w:cs="Times New Roman"/>
          <w:b/>
          <w:color w:val="000000"/>
          <w:sz w:val="24"/>
          <w:szCs w:val="21"/>
          <w:lang w:val="en-US" w:eastAsia="zh-CN"/>
        </w:rPr>
        <w:t xml:space="preserve">法定代表人资格证明</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单位名称：</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地址：</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姓名：       性别：      年龄：      职务：</w:t>
      </w:r>
      <w:r/>
    </w:p>
    <w:p>
      <w:pPr>
        <w:ind w:firstLine="480"/>
        <w:spacing w:line="440" w:lineRule="exact"/>
        <w:rPr>
          <w:rFonts w:hint="eastAsia" w:ascii="宋体" w:hAnsi="宋体" w:cs="宋体"/>
          <w:color w:val="auto"/>
          <w:sz w:val="24"/>
        </w:rPr>
      </w:pPr>
      <w:r>
        <w:rPr>
          <w:rFonts w:hint="eastAsia" w:ascii="宋体" w:hAnsi="宋体" w:cs="宋体"/>
          <w:color w:val="auto"/>
          <w:sz w:val="24"/>
        </w:rPr>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系</w:t>
      </w:r>
      <w:r>
        <w:rPr>
          <w:rFonts w:hint="eastAsia" w:ascii="宋体" w:hAnsi="宋体" w:cs="宋体"/>
          <w:color w:val="auto"/>
          <w:sz w:val="24"/>
          <w:u w:val="single"/>
        </w:rPr>
        <w:t xml:space="preserve"> （投标人名称）</w:t>
      </w:r>
      <w:r>
        <w:rPr>
          <w:rFonts w:hint="eastAsia" w:ascii="宋体" w:hAnsi="宋体" w:cs="宋体"/>
          <w:color w:val="auto"/>
          <w:sz w:val="24"/>
        </w:rPr>
        <w:t xml:space="preserve">的法定代表人。为参与</w:t>
      </w:r>
      <w:r>
        <w:rPr>
          <w:rFonts w:hint="eastAsia" w:ascii="宋体" w:hAnsi="宋体" w:cs="宋体"/>
          <w:color w:val="auto"/>
          <w:sz w:val="24"/>
          <w:u w:val="single"/>
        </w:rPr>
        <w:t xml:space="preserve">           </w:t>
      </w:r>
      <w:r>
        <w:rPr>
          <w:rFonts w:hint="eastAsia" w:ascii="宋体" w:hAnsi="宋体" w:cs="宋体"/>
          <w:color w:val="auto"/>
          <w:sz w:val="24"/>
        </w:rPr>
        <w:t xml:space="preserve">项目，签署上述项目的投标文件、进行招标、签署合同和处理与之有关的一切事宜。</w:t>
      </w:r>
      <w:r/>
    </w:p>
    <w:p>
      <w:pPr>
        <w:ind w:firstLine="480"/>
        <w:spacing w:line="440" w:lineRule="exact"/>
        <w:rPr>
          <w:rFonts w:hint="eastAsia" w:ascii="宋体" w:hAnsi="宋体" w:cs="宋体"/>
          <w:color w:val="auto"/>
          <w:sz w:val="24"/>
        </w:rPr>
      </w:pPr>
      <w:r>
        <w:rPr>
          <w:rFonts w:hint="eastAsia" w:ascii="宋体" w:hAnsi="宋体" w:cs="宋体"/>
          <w:color w:val="auto"/>
          <w:sz w:val="24"/>
        </w:rPr>
      </w:r>
      <w:r/>
    </w:p>
    <w:p>
      <w:pPr>
        <w:ind w:firstLine="480"/>
        <w:spacing w:line="440" w:lineRule="exact"/>
        <w:rPr>
          <w:rFonts w:hint="eastAsia" w:ascii="仿宋" w:hAnsi="仿宋" w:eastAsia="仿宋"/>
          <w:color w:val="auto"/>
          <w:sz w:val="28"/>
          <w:szCs w:val="28"/>
        </w:rPr>
      </w:pPr>
      <w:r>
        <w:rPr>
          <w:rFonts w:hint="eastAsia" w:ascii="宋体" w:hAnsi="宋体" w:cs="宋体"/>
          <w:color w:val="auto"/>
          <w:sz w:val="24"/>
        </w:rPr>
        <w:t xml:space="preserve">特此证明。</w:t>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ind w:firstLine="4800"/>
        <w:jc w:val="both"/>
        <w:keepNext w:val="0"/>
        <w:pageBreakBefore w:val="0"/>
        <w:spacing w:line="360" w:lineRule="auto"/>
        <w:rPr>
          <w:rFonts w:hint="eastAsia" w:ascii="宋体" w:hAnsi="宋体" w:cs="宋体"/>
          <w:color w:val="auto"/>
          <w:sz w:val="24"/>
          <w:szCs w:val="24"/>
          <w:u w:val="single"/>
          <w:lang w:val="en-US" w:eastAsia="zh-CN"/>
        </w:rPr>
      </w:pPr>
      <w:r>
        <w:rPr>
          <w:rFonts w:hint="eastAsia" w:ascii="宋体" w:hAnsi="宋体" w:cs="宋体"/>
          <w:color w:val="auto"/>
          <w:sz w:val="24"/>
          <w:szCs w:val="24"/>
          <w:lang w:eastAsia="zh-CN"/>
        </w:rPr>
        <w:t xml:space="preserve">投标人：</w:t>
      </w:r>
      <w:r>
        <w:rPr>
          <w:rFonts w:hint="eastAsia" w:ascii="宋体" w:hAnsi="宋体" w:cs="宋体"/>
          <w:color w:val="auto"/>
          <w:sz w:val="24"/>
          <w:szCs w:val="24"/>
          <w:u w:val="single"/>
          <w:lang w:val="en-US" w:eastAsia="zh-CN"/>
        </w:rPr>
        <w:t xml:space="preserve">（加盖CA电子公章）</w:t>
      </w:r>
      <w:r/>
    </w:p>
    <w:p>
      <w:pPr>
        <w:ind w:firstLine="4800"/>
        <w:jc w:val="both"/>
        <w:keepNext w:val="0"/>
        <w:pageBreakBefore w:val="0"/>
        <w:spacing w:line="360" w:lineRule="auto"/>
        <w:rPr>
          <w:rFonts w:hint="eastAsia" w:ascii="宋体" w:hAnsi="宋体"/>
          <w:b/>
          <w:color w:val="000000"/>
          <w:sz w:val="24"/>
          <w:szCs w:val="21"/>
        </w:rPr>
      </w:pPr>
      <w:r>
        <w:rPr>
          <w:rFonts w:hint="eastAsia" w:ascii="宋体" w:hAnsi="宋体" w:eastAsia="宋体" w:cs="宋体"/>
          <w:color w:val="auto"/>
          <w:sz w:val="24"/>
          <w:szCs w:val="24"/>
          <w:u w:val="none"/>
          <w:lang w:val="en-US" w:eastAsia="zh-CN"/>
        </w:rPr>
        <w:t xml:space="preserve">日期：</w:t>
      </w:r>
      <w:r>
        <w:rPr>
          <w:rFonts w:hint="eastAsia" w:ascii="宋体" w:hAnsi="宋体" w:eastAsia="宋体" w:cs="宋体"/>
          <w:color w:val="auto"/>
          <w:sz w:val="24"/>
          <w:szCs w:val="24"/>
          <w:u w:val="single"/>
          <w:lang w:val="en-US" w:eastAsia="zh-CN"/>
        </w:rPr>
        <w:t xml:space="preserve">                     </w:t>
      </w:r>
      <w:r/>
    </w:p>
    <w:p>
      <w:pPr>
        <w:jc w:val="both"/>
        <w:spacing w:line="460" w:lineRule="exact"/>
        <w:rPr>
          <w:rFonts w:hint="eastAsia" w:ascii="宋体" w:hAnsi="宋体"/>
          <w:b/>
          <w:color w:val="000000"/>
          <w:sz w:val="24"/>
          <w:szCs w:val="21"/>
          <w:lang w:val="en-US" w:eastAsia="zh-CN"/>
        </w:rPr>
      </w:pPr>
      <w:r>
        <w:rPr>
          <w:rFonts w:hint="eastAsia" w:ascii="宋体" w:hAnsi="宋体"/>
          <w:b/>
          <w:color w:val="000000"/>
          <w:sz w:val="24"/>
          <w:szCs w:val="21"/>
        </w:rPr>
        <w:br w:type="page" w:clear="all"/>
      </w:r>
      <w:r>
        <w:rPr>
          <w:rFonts w:hint="eastAsia" w:ascii="宋体" w:hAnsi="宋体"/>
          <w:b/>
          <w:color w:val="000000"/>
          <w:sz w:val="24"/>
          <w:szCs w:val="21"/>
          <w:lang w:val="en-US" w:eastAsia="zh-CN"/>
        </w:rPr>
        <w:t xml:space="preserve">示范格式4</w:t>
      </w:r>
      <w:r/>
    </w:p>
    <w:p>
      <w:pPr>
        <w:jc w:val="center"/>
        <w:spacing w:line="460" w:lineRule="exact"/>
        <w:rPr>
          <w:rFonts w:hint="eastAsia" w:ascii="宋体" w:hAnsi="宋体"/>
          <w:bCs/>
          <w:color w:val="000000"/>
          <w:sz w:val="24"/>
          <w:szCs w:val="21"/>
        </w:rPr>
      </w:pPr>
      <w:r>
        <w:rPr>
          <w:rFonts w:hint="eastAsia" w:ascii="宋体" w:hAnsi="宋体"/>
          <w:b/>
          <w:color w:val="000000"/>
          <w:sz w:val="24"/>
          <w:szCs w:val="21"/>
        </w:rPr>
        <w:t xml:space="preserve">法人授权书</w:t>
      </w:r>
      <w:r/>
    </w:p>
    <w:p>
      <w:pPr>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w:t>
      </w:r>
      <w:r>
        <w:rPr>
          <w:rFonts w:hint="eastAsia"/>
          <w:color w:val="000000"/>
          <w:sz w:val="24"/>
          <w:szCs w:val="24"/>
          <w:u w:val="single"/>
          <w:lang w:val="en-US" w:eastAsia="zh-CN"/>
        </w:rPr>
        <w:t xml:space="preserve">  </w:t>
      </w:r>
      <w:r>
        <w:rPr>
          <w:rFonts w:hint="eastAsia"/>
          <w:color w:val="000000"/>
          <w:sz w:val="24"/>
          <w:szCs w:val="24"/>
          <w:u w:val="single"/>
          <w:lang w:eastAsia="zh-CN"/>
        </w:rPr>
        <w:t xml:space="preserve">（</w:t>
      </w:r>
      <w:r>
        <w:rPr>
          <w:rFonts w:hint="eastAsia"/>
          <w:color w:val="000000"/>
          <w:sz w:val="24"/>
          <w:szCs w:val="24"/>
          <w:u w:val="single"/>
          <w:lang w:val="en-US" w:eastAsia="zh-CN"/>
        </w:rPr>
        <w:t xml:space="preserve">项目编号</w:t>
      </w:r>
      <w:r>
        <w:rPr>
          <w:rFonts w:hint="eastAsia"/>
          <w:color w:val="000000"/>
          <w:sz w:val="24"/>
          <w:szCs w:val="24"/>
          <w:u w:val="single"/>
          <w:lang w:eastAsia="zh-CN"/>
        </w:rPr>
        <w:t xml:space="preserve">）</w:t>
      </w:r>
      <w:r>
        <w:rPr>
          <w:rFonts w:hint="eastAsia"/>
          <w:color w:val="000000"/>
          <w:sz w:val="24"/>
          <w:szCs w:val="24"/>
          <w:u w:val="single"/>
          <w:lang w:val="en-US" w:eastAsia="zh-CN"/>
        </w:rPr>
        <w:t xml:space="preserve">  </w:t>
      </w:r>
      <w:r>
        <w:rPr>
          <w:rFonts w:hint="eastAsia"/>
          <w:color w:val="000000"/>
          <w:sz w:val="24"/>
          <w:szCs w:val="24"/>
        </w:rPr>
        <w:t xml:space="preserve">项目采购活动的合法代理人，以本单位名义全权处理一切与该项目采购有关的事务。</w:t>
      </w:r>
      <w:r/>
    </w:p>
    <w:p>
      <w:pPr>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p>
    <w:p>
      <w:pPr>
        <w:ind w:firstLine="480"/>
        <w:spacing w:line="400" w:lineRule="exact"/>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p>
    <w:p>
      <w:pPr>
        <w:ind w:firstLine="1200"/>
        <w:spacing w:line="400" w:lineRule="exact"/>
        <w:tabs>
          <w:tab w:val="left" w:pos="360" w:leader="none"/>
        </w:tabs>
        <w:rPr>
          <w:rFonts w:hint="eastAsia" w:ascii="宋体" w:hAnsi="宋体" w:eastAsia="宋体"/>
          <w:b/>
          <w:sz w:val="24"/>
          <w:szCs w:val="21"/>
          <w:lang w:eastAsia="zh-CN"/>
        </w:rPr>
      </w:pPr>
      <w:r>
        <w:rPr>
          <w:rFonts w:hint="eastAsia"/>
          <w:color w:val="000000"/>
          <w:sz w:val="24"/>
          <w:szCs w:val="24"/>
        </w:rPr>
        <w:t xml:space="preserve">日期：</w:t>
      </w:r>
      <w:r>
        <w:rPr>
          <w:rFonts w:hint="eastAsia"/>
          <w:color w:val="000000"/>
          <w:sz w:val="24"/>
          <w:szCs w:val="24"/>
          <w:u w:val="single"/>
        </w:rPr>
        <w:t xml:space="preserve">                                         </w:t>
      </w:r>
      <w:r>
        <w:rPr>
          <w:rFonts w:hint="eastAsia" w:ascii="宋体" w:hAnsi="宋体" w:cs="仿宋"/>
          <w:b/>
          <w:bCs/>
          <w:color w:val="000000"/>
          <w:sz w:val="32"/>
          <w:szCs w:val="32"/>
        </w:rPr>
        <w:br w:type="page" w:clear="all"/>
      </w:r>
      <w:r>
        <w:rPr>
          <w:rFonts w:hint="eastAsia" w:ascii="宋体" w:hAnsi="宋体"/>
          <w:b/>
          <w:sz w:val="24"/>
          <w:szCs w:val="21"/>
          <w:lang w:val="en-US" w:eastAsia="zh-CN"/>
        </w:rPr>
        <w:t xml:space="preserve">示范格式5</w:t>
      </w:r>
      <w:r/>
    </w:p>
    <w:p>
      <w:pPr>
        <w:jc w:val="center"/>
        <w:spacing w:line="420" w:lineRule="exact"/>
        <w:rPr>
          <w:rFonts w:hint="eastAsia" w:ascii="宋体" w:hAnsi="宋体"/>
          <w:b/>
          <w:sz w:val="24"/>
          <w:szCs w:val="21"/>
        </w:rPr>
      </w:pPr>
      <w:r>
        <w:rPr>
          <w:rFonts w:hint="eastAsia" w:ascii="宋体" w:hAnsi="宋体"/>
          <w:b/>
          <w:sz w:val="24"/>
          <w:szCs w:val="21"/>
        </w:rPr>
        <w:t xml:space="preserve">中小微企业声明函（货物类项目）（采购包号：</w:t>
      </w:r>
      <w:r>
        <w:rPr>
          <w:rFonts w:hint="eastAsia" w:ascii="宋体" w:hAnsi="宋体"/>
          <w:b/>
          <w:sz w:val="24"/>
          <w:szCs w:val="21"/>
          <w:lang w:val="en-US" w:eastAsia="zh-CN"/>
        </w:rPr>
        <w:t xml:space="preserve">1</w:t>
      </w:r>
      <w:r>
        <w:rPr>
          <w:rFonts w:hint="eastAsia" w:ascii="宋体" w:hAnsi="宋体"/>
          <w:b/>
          <w:sz w:val="24"/>
          <w:szCs w:val="21"/>
        </w:rPr>
        <w:t xml:space="preserve">）</w:t>
      </w:r>
      <w:r/>
    </w:p>
    <w:p>
      <w:pPr>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（单位名称）</w:t>
      </w:r>
      <w:r>
        <w:rPr>
          <w:rFonts w:hint="eastAsia" w:ascii="宋体" w:hAnsi="宋体"/>
          <w:sz w:val="24"/>
          <w:szCs w:val="24"/>
        </w:rPr>
        <w:t xml:space="preserve">组织的采购编号为</w:t>
      </w:r>
      <w:r>
        <w:rPr>
          <w:rFonts w:hint="eastAsia"/>
          <w:color w:val="000000"/>
          <w:sz w:val="24"/>
          <w:szCs w:val="24"/>
          <w:u w:val="single"/>
          <w:lang w:val="en-US" w:eastAsia="zh-CN"/>
        </w:rPr>
        <w:t xml:space="preserve">  </w:t>
      </w:r>
      <w:r>
        <w:rPr>
          <w:rFonts w:hint="eastAsia"/>
          <w:color w:val="000000"/>
          <w:sz w:val="24"/>
          <w:szCs w:val="24"/>
          <w:u w:val="single"/>
          <w:lang w:eastAsia="zh-CN"/>
        </w:rPr>
        <w:t xml:space="preserve">（</w:t>
      </w:r>
      <w:r>
        <w:rPr>
          <w:rFonts w:hint="eastAsia"/>
          <w:color w:val="000000"/>
          <w:sz w:val="24"/>
          <w:szCs w:val="24"/>
          <w:u w:val="single"/>
          <w:lang w:val="en-US" w:eastAsia="zh-CN"/>
        </w:rPr>
        <w:t xml:space="preserve">项目编号</w:t>
      </w:r>
      <w:r>
        <w:rPr>
          <w:rFonts w:hint="eastAsia"/>
          <w:color w:val="000000"/>
          <w:sz w:val="24"/>
          <w:szCs w:val="24"/>
          <w:u w:val="single"/>
          <w:lang w:eastAsia="zh-CN"/>
        </w:rPr>
        <w:t xml:space="preserve">）</w:t>
      </w:r>
      <w:r>
        <w:rPr>
          <w:rFonts w:hint="eastAsia"/>
          <w:color w:val="000000"/>
          <w:sz w:val="24"/>
          <w:szCs w:val="24"/>
          <w:u w:val="single"/>
          <w:lang w:val="en-US" w:eastAsia="zh-CN"/>
        </w:rPr>
        <w:t xml:space="preserve">  </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u w:val="single"/>
          <w:lang w:val="en-US" w:eastAsia="zh-CN"/>
        </w:rPr>
        <w:t xml:space="preserve">1</w:t>
      </w:r>
      <w:r>
        <w:rPr>
          <w:rFonts w:hint="eastAsia" w:ascii="宋体" w:hAnsi="宋体"/>
          <w:sz w:val="24"/>
          <w:szCs w:val="24"/>
          <w:u w:val="single"/>
        </w:rPr>
        <w:t xml:space="preserve">）</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sz w:val="24"/>
          <w:szCs w:val="24"/>
        </w:rPr>
      </w:pPr>
      <w:r>
        <w:rPr>
          <w:rFonts w:hint="eastAsia" w:ascii="宋体" w:hAnsi="宋体"/>
          <w:sz w:val="24"/>
          <w:szCs w:val="24"/>
        </w:rPr>
        <w:t xml:space="preserve">……</w:t>
      </w:r>
      <w:r/>
    </w:p>
    <w:p>
      <w:pPr>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hint="eastAsia" w:ascii="宋体" w:hAnsi="宋体"/>
          <w:sz w:val="24"/>
          <w:szCs w:val="24"/>
        </w:rPr>
      </w:pPr>
      <w:r>
        <w:rPr>
          <w:rFonts w:hint="eastAsia" w:ascii="宋体" w:hAnsi="宋体"/>
          <w:sz w:val="24"/>
          <w:szCs w:val="24"/>
        </w:rPr>
      </w:r>
      <w:r/>
    </w:p>
    <w:p>
      <w:pPr>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6000"/>
        <w:spacing w:line="400" w:lineRule="exact"/>
        <w:rPr>
          <w:rFonts w:hint="eastAsia" w:ascii="宋体" w:hAnsi="宋体"/>
          <w:sz w:val="24"/>
          <w:szCs w:val="24"/>
        </w:rPr>
      </w:pPr>
      <w:r>
        <w:rPr>
          <w:rFonts w:hint="eastAsia" w:ascii="宋体" w:hAnsi="宋体"/>
          <w:sz w:val="24"/>
          <w:szCs w:val="24"/>
        </w:rPr>
        <w:t xml:space="preserve">日  期：</w:t>
      </w:r>
      <w:r/>
    </w:p>
    <w:p>
      <w:pPr>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hint="eastAsia"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firstLine="480"/>
        <w:spacing w:line="400" w:lineRule="exact"/>
        <w:rPr>
          <w:rFonts w:hint="eastAsia" w:ascii="宋体" w:hAnsi="宋体" w:eastAsia="宋体"/>
          <w:b/>
          <w:sz w:val="24"/>
          <w:szCs w:val="24"/>
          <w:lang w:eastAsia="zh-CN"/>
        </w:rPr>
      </w:pPr>
      <w:r>
        <w:rPr>
          <w:rFonts w:hint="eastAsia" w:ascii="宋体" w:hAnsi="宋体"/>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sz w:val="24"/>
          <w:szCs w:val="24"/>
          <w:lang w:val="en-US" w:eastAsia="zh-CN"/>
        </w:rPr>
        <w:t xml:space="preserve">示范格式6</w:t>
      </w:r>
      <w:r/>
    </w:p>
    <w:p>
      <w:pPr>
        <w:jc w:val="center"/>
        <w:spacing w:line="400" w:lineRule="exact"/>
        <w:rPr>
          <w:rFonts w:hint="eastAsia" w:ascii="宋体" w:hAnsi="宋体"/>
          <w:color w:val="ff0000"/>
          <w:sz w:val="24"/>
          <w:szCs w:val="24"/>
        </w:rPr>
      </w:pPr>
      <w:r>
        <w:rPr>
          <w:rFonts w:hint="eastAsia" w:ascii="宋体" w:hAnsi="宋体"/>
          <w:b/>
          <w:sz w:val="24"/>
          <w:szCs w:val="24"/>
        </w:rPr>
        <w:t xml:space="preserve">残疾人福利性单位声明函（货物类项目）（采购包号：</w:t>
      </w:r>
      <w:r>
        <w:rPr>
          <w:rFonts w:hint="eastAsia" w:ascii="宋体" w:hAnsi="宋体"/>
          <w:b/>
          <w:sz w:val="24"/>
          <w:szCs w:val="24"/>
          <w:lang w:val="en-US" w:eastAsia="zh-CN"/>
        </w:rPr>
        <w:t xml:space="preserve">1</w:t>
      </w:r>
      <w:r>
        <w:rPr>
          <w:rFonts w:hint="eastAsia" w:ascii="宋体" w:hAnsi="宋体"/>
          <w:b/>
          <w:sz w:val="24"/>
          <w:szCs w:val="24"/>
        </w:rPr>
        <w:t xml:space="preserve">）</w:t>
      </w:r>
      <w:r/>
    </w:p>
    <w:p>
      <w:pPr>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color w:val="000000"/>
          <w:sz w:val="24"/>
          <w:szCs w:val="24"/>
          <w:u w:val="single"/>
          <w:lang w:val="en-US" w:eastAsia="zh-CN"/>
        </w:rPr>
        <w:t xml:space="preserve">  </w:t>
      </w:r>
      <w:r>
        <w:rPr>
          <w:rFonts w:hint="eastAsia"/>
          <w:color w:val="000000"/>
          <w:sz w:val="24"/>
          <w:szCs w:val="24"/>
          <w:u w:val="single"/>
          <w:lang w:eastAsia="zh-CN"/>
        </w:rPr>
        <w:t xml:space="preserve">（</w:t>
      </w:r>
      <w:r>
        <w:rPr>
          <w:rFonts w:hint="eastAsia"/>
          <w:color w:val="000000"/>
          <w:sz w:val="24"/>
          <w:szCs w:val="24"/>
          <w:u w:val="single"/>
          <w:lang w:val="en-US" w:eastAsia="zh-CN"/>
        </w:rPr>
        <w:t xml:space="preserve">项目编号</w:t>
      </w:r>
      <w:r>
        <w:rPr>
          <w:rFonts w:hint="eastAsia"/>
          <w:color w:val="000000"/>
          <w:sz w:val="24"/>
          <w:szCs w:val="24"/>
          <w:u w:val="single"/>
          <w:lang w:eastAsia="zh-CN"/>
        </w:rPr>
        <w:t xml:space="preserve">）</w:t>
      </w:r>
      <w:r>
        <w:rPr>
          <w:rFonts w:hint="eastAsia"/>
          <w:color w:val="000000"/>
          <w:sz w:val="24"/>
          <w:szCs w:val="24"/>
          <w:u w:val="single"/>
          <w:lang w:val="en-US" w:eastAsia="zh-CN"/>
        </w:rPr>
        <w:t xml:space="preserve">  </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项目（采购包号：</w:t>
      </w:r>
      <w:r>
        <w:rPr>
          <w:rFonts w:hint="eastAsia" w:ascii="宋体" w:hAnsi="宋体"/>
          <w:sz w:val="24"/>
          <w:szCs w:val="21"/>
          <w:lang w:val="en-US" w:eastAsia="zh-CN"/>
        </w:rPr>
        <w:t xml:space="preserve">1</w:t>
      </w:r>
      <w:r>
        <w:rPr>
          <w:rFonts w:hint="eastAsia" w:ascii="宋体" w:hAnsi="宋体"/>
          <w:sz w:val="24"/>
          <w:szCs w:val="21"/>
        </w:rPr>
        <w:t xml:space="preserve">）采购活动提供本单位制造的货物，或者提供其他残疾人福利性单位制造的货物（不包括使用非残疾人福利性单位注册商标的货物）。</w:t>
      </w:r>
      <w:r/>
    </w:p>
    <w:p>
      <w:pPr>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400" w:lineRule="exact"/>
        <w:rPr>
          <w:rFonts w:ascii="宋体" w:hAnsi="宋体"/>
          <w:sz w:val="24"/>
          <w:szCs w:val="21"/>
        </w:rPr>
      </w:pPr>
      <w:r>
        <w:rPr>
          <w:rFonts w:ascii="宋体" w:hAnsi="宋体"/>
          <w:sz w:val="24"/>
          <w:szCs w:val="21"/>
        </w:rPr>
      </w:r>
      <w:r/>
    </w:p>
    <w:p>
      <w:pPr>
        <w:ind w:firstLine="480"/>
        <w:spacing w:line="400" w:lineRule="exact"/>
        <w:rPr>
          <w:rFonts w:ascii="宋体" w:hAnsi="宋体"/>
          <w:sz w:val="24"/>
          <w:szCs w:val="21"/>
        </w:rPr>
      </w:pPr>
      <w:r>
        <w:rPr>
          <w:rFonts w:hint="eastAsia" w:ascii="宋体" w:hAnsi="宋体"/>
          <w:sz w:val="24"/>
          <w:szCs w:val="21"/>
        </w:rPr>
        <w:t xml:space="preserve">备注：</w:t>
      </w:r>
      <w:r/>
    </w:p>
    <w:p>
      <w:pPr>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p>
    <w:p>
      <w:pPr>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p>
    <w:p>
      <w:pPr>
        <w:ind w:right="1559"/>
        <w:jc w:val="both"/>
        <w:spacing w:line="400" w:lineRule="exact"/>
        <w:tabs>
          <w:tab w:val="left" w:pos="4860" w:leader="none"/>
        </w:tabs>
        <w:rPr>
          <w:rFonts w:hint="eastAsia" w:ascii="宋体" w:hAnsi="宋体"/>
          <w:sz w:val="24"/>
          <w:szCs w:val="21"/>
        </w:rPr>
      </w:pPr>
      <w:r>
        <w:rPr>
          <w:rFonts w:hint="eastAsia" w:ascii="宋体" w:hAnsi="宋体"/>
          <w:sz w:val="24"/>
          <w:szCs w:val="21"/>
        </w:rPr>
      </w:r>
      <w:r/>
    </w:p>
    <w:p>
      <w:pPr>
        <w:ind w:right="1559"/>
        <w:jc w:val="both"/>
        <w:spacing w:line="400" w:lineRule="exact"/>
        <w:tabs>
          <w:tab w:val="left" w:pos="4860" w:leader="none"/>
        </w:tabs>
        <w:rPr>
          <w:rFonts w:hint="eastAsia" w:ascii="宋体" w:hAnsi="宋体"/>
          <w:sz w:val="24"/>
          <w:szCs w:val="21"/>
        </w:rPr>
      </w:pPr>
      <w:r>
        <w:rPr>
          <w:rFonts w:hint="eastAsia" w:ascii="宋体" w:hAnsi="宋体"/>
          <w:sz w:val="24"/>
          <w:szCs w:val="21"/>
        </w:rPr>
      </w:r>
      <w:r/>
    </w:p>
    <w:p>
      <w:pPr>
        <w:ind w:right="0" w:firstLine="3840"/>
        <w:jc w:val="both"/>
        <w:spacing w:line="240" w:lineRule="auto"/>
        <w:tabs>
          <w:tab w:val="left" w:pos="4860" w:leader="none"/>
        </w:tabs>
        <w:rPr>
          <w:rFonts w:hint="eastAsia" w:ascii="宋体" w:hAnsi="宋体"/>
          <w:sz w:val="24"/>
          <w:szCs w:val="21"/>
        </w:rPr>
      </w:pPr>
      <w:r>
        <w:rPr>
          <w:rFonts w:hint="eastAsia" w:ascii="宋体" w:hAnsi="宋体"/>
          <w:sz w:val="24"/>
          <w:szCs w:val="21"/>
        </w:rPr>
        <w:t xml:space="preserve">供应商全称（加盖CA电子公章）：</w:t>
      </w:r>
      <w:r/>
    </w:p>
    <w:p>
      <w:pPr>
        <w:ind w:right="0" w:firstLine="3840"/>
        <w:jc w:val="both"/>
        <w:spacing w:line="240" w:lineRule="auto"/>
        <w:tabs>
          <w:tab w:val="left" w:pos="4860" w:leader="none"/>
        </w:tabs>
        <w:rPr>
          <w:rFonts w:ascii="宋体" w:hAnsi="宋体" w:cs="仿宋"/>
          <w:b/>
          <w:bCs/>
          <w:color w:val="000000"/>
          <w:sz w:val="32"/>
          <w:szCs w:val="32"/>
        </w:rPr>
      </w:pPr>
      <w:r>
        <w:rPr>
          <w:rFonts w:hint="eastAsia" w:ascii="宋体" w:hAnsi="宋体"/>
          <w:sz w:val="24"/>
          <w:szCs w:val="21"/>
        </w:rPr>
        <w:t xml:space="preserve">日  期：</w:t>
      </w:r>
      <w:r>
        <w:rPr>
          <w:rFonts w:hint="eastAsia" w:ascii="宋体" w:hAnsi="宋体" w:cs="仿宋"/>
          <w:b/>
          <w:bCs/>
          <w:color w:val="000000"/>
          <w:sz w:val="32"/>
          <w:szCs w:val="32"/>
        </w:rPr>
        <w:br w:type="page" w:clear="all"/>
      </w: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1"/>
      <w:footerReference w:type="even" r:id="rId12"/>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方正魏碑_GBK">
    <w:panose1 w:val="020B0503020202020204"/>
  </w:font>
  <w:font w:name="仿宋">
    <w:panose1 w:val="02010609060101010101"/>
  </w:font>
  <w:font w:name="Showcard Gothic">
    <w:panose1 w:val="04020904020102020604"/>
  </w:font>
  <w:font w:name="Symbol">
    <w:panose1 w:val="05050102010706020507"/>
  </w:font>
  <w:font w:name="微软雅黑">
    <w:panose1 w:val="020B0503020204020204"/>
  </w:font>
  <w:font w:name="Calibri">
    <w:panose1 w:val="020F0502020204030204"/>
  </w:font>
  <w:font w:name="华文楷体">
    <w:panose1 w:val="02010600040101010101"/>
  </w:font>
  <w:font w:name="Wingdings">
    <w:panose1 w:val="05000000000000000000"/>
  </w:font>
  <w:font w:name="Courier New">
    <w:panose1 w:val="02070309020205020404"/>
  </w:font>
  <w:font w:name="楷体_GB2312">
    <w:panose1 w:val="02010609060101010101"/>
  </w:font>
  <w:font w:name="仿宋_GB2312">
    <w:panose1 w:val="02010609060101010101"/>
  </w:font>
  <w:font w:name="华文中宋">
    <w:panose1 w:val="02010600040101010101"/>
  </w:font>
  <w:font w:name="幼圆">
    <w:panose1 w:val="02010509060101010101"/>
  </w:font>
  <w:font w:name="黑体">
    <w:panose1 w:val="02010609060101010101"/>
  </w:font>
  <w:font w:name="宋体">
    <w:panose1 w:val="0201060003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center"/>
    </w:pPr>
    <w:r>
      <w:fldChar w:fldCharType="begin"/>
    </w:r>
    <w:r>
      <w:instrText xml:space="preserve">PAGE   \* MERGEFORMAT</w:instrText>
    </w:r>
    <w:r>
      <w:fldChar w:fldCharType="separate"/>
    </w:r>
    <w:r>
      <w:rPr>
        <w:lang w:val="zh-CN"/>
      </w:rPr>
      <w:t xml:space="preserve">19</w:t>
    </w:r>
    <w:r>
      <w:fldChar w:fldCharType="end"/>
    </w:r>
    <w:r/>
  </w:p>
  <w:p>
    <w:pPr>
      <w:pStyle w:val="89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rPr>
        <w:rStyle w:val="902"/>
        <w:rFonts w:ascii="宋体" w:hAnsi="宋体"/>
      </w:rPr>
      <w:framePr w:wrap="around" w:vAnchor="text" w:hAnchor="margin" w:xAlign="center" w:y="1"/>
    </w:pPr>
    <w:r>
      <w:rPr>
        <w:rFonts w:ascii="宋体" w:hAnsi="宋体"/>
      </w:rPr>
      <w:fldChar w:fldCharType="begin"/>
    </w:r>
    <w:r>
      <w:rPr>
        <w:rStyle w:val="902"/>
        <w:rFonts w:ascii="宋体" w:hAnsi="宋体"/>
      </w:rPr>
      <w:instrText xml:space="preserve">PAGE  </w:instrText>
    </w:r>
    <w:r>
      <w:rPr>
        <w:rFonts w:ascii="宋体" w:hAnsi="宋体"/>
      </w:rPr>
      <w:fldChar w:fldCharType="separate"/>
    </w:r>
    <w:r>
      <w:rPr>
        <w:rStyle w:val="902"/>
        <w:rFonts w:ascii="宋体" w:hAnsi="宋体"/>
      </w:rPr>
      <w:t xml:space="preserve">53</w:t>
    </w:r>
    <w:r>
      <w:rPr>
        <w:rFonts w:ascii="宋体" w:hAnsi="宋体"/>
      </w:rPr>
      <w:fldChar w:fldCharType="end"/>
    </w:r>
    <w:r/>
  </w:p>
  <w:p>
    <w:pPr>
      <w:pStyle w:val="898"/>
      <w:jc w:val="center"/>
      <w:rPr>
        <w:rFonts w:hint="eastAsia"/>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rPr>
        <w:rStyle w:val="902"/>
      </w:rPr>
      <w:framePr w:wrap="around" w:vAnchor="text" w:hAnchor="margin" w:xAlign="center" w:y="1"/>
    </w:pPr>
    <w:r>
      <w:fldChar w:fldCharType="begin"/>
    </w:r>
    <w:r>
      <w:rPr>
        <w:rStyle w:val="902"/>
      </w:rPr>
      <w:instrText xml:space="preserve">PAGE  </w:instrText>
    </w:r>
    <w:r>
      <w:fldChar w:fldCharType="separate"/>
    </w:r>
    <w:r>
      <w:rPr>
        <w:rStyle w:val="902"/>
      </w:rPr>
      <w:t xml:space="preserve">1</w:t>
    </w:r>
    <w:r>
      <w:fldChar w:fldCharType="end"/>
    </w:r>
    <w:r/>
  </w:p>
  <w:p>
    <w:pPr>
      <w:pStyle w:val="89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8"/>
  </w:num>
  <w:num w:numId="3">
    <w:abstractNumId w:val="3"/>
  </w:num>
  <w:num w:numId="4">
    <w:abstractNumId w:val="5"/>
  </w:num>
  <w:num w:numId="5">
    <w:abstractNumId w:val="4"/>
  </w:num>
  <w:num w:numId="6">
    <w:abstractNumId w:val="2"/>
  </w:num>
  <w:num w:numId="7">
    <w:abstractNumId w:val="6"/>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name w:val="Heading 1"/>
    <w:basedOn w:val="890"/>
    <w:next w:val="890"/>
    <w:link w:val="717"/>
    <w:uiPriority w:val="9"/>
    <w:qFormat/>
    <w:pPr>
      <w:keepLines/>
      <w:keepNext/>
      <w:spacing w:before="480" w:after="200"/>
      <w:outlineLvl w:val="0"/>
    </w:pPr>
    <w:rPr>
      <w:rFonts w:ascii="Arial" w:hAnsi="Arial" w:eastAsia="Arial" w:cs="Arial"/>
      <w:sz w:val="40"/>
      <w:szCs w:val="40"/>
    </w:rPr>
  </w:style>
  <w:style w:type="character" w:styleId="717">
    <w:name w:val="Heading 1 Char"/>
    <w:basedOn w:val="892"/>
    <w:link w:val="716"/>
    <w:uiPriority w:val="9"/>
    <w:rPr>
      <w:rFonts w:ascii="Arial" w:hAnsi="Arial" w:eastAsia="Arial" w:cs="Arial"/>
      <w:sz w:val="40"/>
      <w:szCs w:val="40"/>
    </w:rPr>
  </w:style>
  <w:style w:type="character" w:styleId="718">
    <w:name w:val="Heading 2 Char"/>
    <w:basedOn w:val="892"/>
    <w:link w:val="891"/>
    <w:uiPriority w:val="9"/>
    <w:rPr>
      <w:rFonts w:ascii="Arial" w:hAnsi="Arial" w:eastAsia="Arial" w:cs="Arial"/>
      <w:sz w:val="34"/>
    </w:rPr>
  </w:style>
  <w:style w:type="paragraph" w:styleId="719">
    <w:name w:val="Heading 3"/>
    <w:basedOn w:val="890"/>
    <w:next w:val="890"/>
    <w:link w:val="720"/>
    <w:uiPriority w:val="9"/>
    <w:unhideWhenUsed/>
    <w:qFormat/>
    <w:pPr>
      <w:keepLines/>
      <w:keepNext/>
      <w:spacing w:before="320" w:after="200"/>
      <w:outlineLvl w:val="2"/>
    </w:pPr>
    <w:rPr>
      <w:rFonts w:ascii="Arial" w:hAnsi="Arial" w:eastAsia="Arial" w:cs="Arial"/>
      <w:sz w:val="30"/>
      <w:szCs w:val="30"/>
    </w:rPr>
  </w:style>
  <w:style w:type="character" w:styleId="720">
    <w:name w:val="Heading 3 Char"/>
    <w:basedOn w:val="892"/>
    <w:link w:val="719"/>
    <w:uiPriority w:val="9"/>
    <w:rPr>
      <w:rFonts w:ascii="Arial" w:hAnsi="Arial" w:eastAsia="Arial" w:cs="Arial"/>
      <w:sz w:val="30"/>
      <w:szCs w:val="30"/>
    </w:rPr>
  </w:style>
  <w:style w:type="paragraph" w:styleId="721">
    <w:name w:val="Heading 4"/>
    <w:basedOn w:val="890"/>
    <w:next w:val="890"/>
    <w:link w:val="722"/>
    <w:uiPriority w:val="9"/>
    <w:unhideWhenUsed/>
    <w:qFormat/>
    <w:pPr>
      <w:keepLines/>
      <w:keepNext/>
      <w:spacing w:before="320" w:after="200"/>
      <w:outlineLvl w:val="3"/>
    </w:pPr>
    <w:rPr>
      <w:rFonts w:ascii="Arial" w:hAnsi="Arial" w:eastAsia="Arial" w:cs="Arial"/>
      <w:b/>
      <w:bCs/>
      <w:sz w:val="26"/>
      <w:szCs w:val="26"/>
    </w:rPr>
  </w:style>
  <w:style w:type="character" w:styleId="722">
    <w:name w:val="Heading 4 Char"/>
    <w:basedOn w:val="892"/>
    <w:link w:val="721"/>
    <w:uiPriority w:val="9"/>
    <w:rPr>
      <w:rFonts w:ascii="Arial" w:hAnsi="Arial" w:eastAsia="Arial" w:cs="Arial"/>
      <w:b/>
      <w:bCs/>
      <w:sz w:val="26"/>
      <w:szCs w:val="26"/>
    </w:rPr>
  </w:style>
  <w:style w:type="paragraph" w:styleId="723">
    <w:name w:val="Heading 5"/>
    <w:basedOn w:val="890"/>
    <w:next w:val="890"/>
    <w:link w:val="724"/>
    <w:uiPriority w:val="9"/>
    <w:unhideWhenUsed/>
    <w:qFormat/>
    <w:pPr>
      <w:keepLines/>
      <w:keepNext/>
      <w:spacing w:before="320" w:after="200"/>
      <w:outlineLvl w:val="4"/>
    </w:pPr>
    <w:rPr>
      <w:rFonts w:ascii="Arial" w:hAnsi="Arial" w:eastAsia="Arial" w:cs="Arial"/>
      <w:b/>
      <w:bCs/>
      <w:sz w:val="24"/>
      <w:szCs w:val="24"/>
    </w:rPr>
  </w:style>
  <w:style w:type="character" w:styleId="724">
    <w:name w:val="Heading 5 Char"/>
    <w:basedOn w:val="892"/>
    <w:link w:val="723"/>
    <w:uiPriority w:val="9"/>
    <w:rPr>
      <w:rFonts w:ascii="Arial" w:hAnsi="Arial" w:eastAsia="Arial" w:cs="Arial"/>
      <w:b/>
      <w:bCs/>
      <w:sz w:val="24"/>
      <w:szCs w:val="24"/>
    </w:rPr>
  </w:style>
  <w:style w:type="paragraph" w:styleId="725">
    <w:name w:val="Heading 6"/>
    <w:basedOn w:val="890"/>
    <w:next w:val="890"/>
    <w:link w:val="726"/>
    <w:uiPriority w:val="9"/>
    <w:unhideWhenUsed/>
    <w:qFormat/>
    <w:pPr>
      <w:keepLines/>
      <w:keepNext/>
      <w:spacing w:before="320" w:after="200"/>
      <w:outlineLvl w:val="5"/>
    </w:pPr>
    <w:rPr>
      <w:rFonts w:ascii="Arial" w:hAnsi="Arial" w:eastAsia="Arial" w:cs="Arial"/>
      <w:b/>
      <w:bCs/>
      <w:sz w:val="22"/>
      <w:szCs w:val="22"/>
    </w:rPr>
  </w:style>
  <w:style w:type="character" w:styleId="726">
    <w:name w:val="Heading 6 Char"/>
    <w:basedOn w:val="892"/>
    <w:link w:val="725"/>
    <w:uiPriority w:val="9"/>
    <w:rPr>
      <w:rFonts w:ascii="Arial" w:hAnsi="Arial" w:eastAsia="Arial" w:cs="Arial"/>
      <w:b/>
      <w:bCs/>
      <w:sz w:val="22"/>
      <w:szCs w:val="22"/>
    </w:rPr>
  </w:style>
  <w:style w:type="paragraph" w:styleId="727">
    <w:name w:val="Heading 7"/>
    <w:basedOn w:val="890"/>
    <w:next w:val="890"/>
    <w:link w:val="728"/>
    <w:uiPriority w:val="9"/>
    <w:unhideWhenUsed/>
    <w:qFormat/>
    <w:pPr>
      <w:keepLines/>
      <w:keepNext/>
      <w:spacing w:before="320" w:after="200"/>
      <w:outlineLvl w:val="6"/>
    </w:pPr>
    <w:rPr>
      <w:rFonts w:ascii="Arial" w:hAnsi="Arial" w:eastAsia="Arial" w:cs="Arial"/>
      <w:b/>
      <w:bCs/>
      <w:i/>
      <w:iCs/>
      <w:sz w:val="22"/>
      <w:szCs w:val="22"/>
    </w:rPr>
  </w:style>
  <w:style w:type="character" w:styleId="728">
    <w:name w:val="Heading 7 Char"/>
    <w:basedOn w:val="892"/>
    <w:link w:val="727"/>
    <w:uiPriority w:val="9"/>
    <w:rPr>
      <w:rFonts w:ascii="Arial" w:hAnsi="Arial" w:eastAsia="Arial" w:cs="Arial"/>
      <w:b/>
      <w:bCs/>
      <w:i/>
      <w:iCs/>
      <w:sz w:val="22"/>
      <w:szCs w:val="22"/>
    </w:rPr>
  </w:style>
  <w:style w:type="paragraph" w:styleId="729">
    <w:name w:val="Heading 8"/>
    <w:basedOn w:val="890"/>
    <w:next w:val="890"/>
    <w:link w:val="730"/>
    <w:uiPriority w:val="9"/>
    <w:unhideWhenUsed/>
    <w:qFormat/>
    <w:pPr>
      <w:keepLines/>
      <w:keepNext/>
      <w:spacing w:before="320" w:after="200"/>
      <w:outlineLvl w:val="7"/>
    </w:pPr>
    <w:rPr>
      <w:rFonts w:ascii="Arial" w:hAnsi="Arial" w:eastAsia="Arial" w:cs="Arial"/>
      <w:i/>
      <w:iCs/>
      <w:sz w:val="22"/>
      <w:szCs w:val="22"/>
    </w:rPr>
  </w:style>
  <w:style w:type="character" w:styleId="730">
    <w:name w:val="Heading 8 Char"/>
    <w:basedOn w:val="892"/>
    <w:link w:val="729"/>
    <w:uiPriority w:val="9"/>
    <w:rPr>
      <w:rFonts w:ascii="Arial" w:hAnsi="Arial" w:eastAsia="Arial" w:cs="Arial"/>
      <w:i/>
      <w:iCs/>
      <w:sz w:val="22"/>
      <w:szCs w:val="22"/>
    </w:rPr>
  </w:style>
  <w:style w:type="paragraph" w:styleId="731">
    <w:name w:val="Heading 9"/>
    <w:basedOn w:val="890"/>
    <w:next w:val="890"/>
    <w:link w:val="732"/>
    <w:uiPriority w:val="9"/>
    <w:unhideWhenUsed/>
    <w:qFormat/>
    <w:pPr>
      <w:keepLines/>
      <w:keepNext/>
      <w:spacing w:before="320" w:after="200"/>
      <w:outlineLvl w:val="8"/>
    </w:pPr>
    <w:rPr>
      <w:rFonts w:ascii="Arial" w:hAnsi="Arial" w:eastAsia="Arial" w:cs="Arial"/>
      <w:i/>
      <w:iCs/>
      <w:sz w:val="21"/>
      <w:szCs w:val="21"/>
    </w:rPr>
  </w:style>
  <w:style w:type="character" w:styleId="732">
    <w:name w:val="Heading 9 Char"/>
    <w:basedOn w:val="892"/>
    <w:link w:val="731"/>
    <w:uiPriority w:val="9"/>
    <w:rPr>
      <w:rFonts w:ascii="Arial" w:hAnsi="Arial" w:eastAsia="Arial" w:cs="Arial"/>
      <w:i/>
      <w:iCs/>
      <w:sz w:val="21"/>
      <w:szCs w:val="21"/>
    </w:rPr>
  </w:style>
  <w:style w:type="paragraph" w:styleId="733">
    <w:name w:val="List Paragraph"/>
    <w:basedOn w:val="890"/>
    <w:uiPriority w:val="34"/>
    <w:qFormat/>
    <w:pPr>
      <w:contextualSpacing/>
      <w:ind w:left="720"/>
    </w:pPr>
  </w:style>
  <w:style w:type="paragraph" w:styleId="734">
    <w:name w:val="No Spacing"/>
    <w:uiPriority w:val="1"/>
    <w:qFormat/>
    <w:pPr>
      <w:spacing w:before="0" w:after="0" w:line="240" w:lineRule="auto"/>
    </w:pPr>
  </w:style>
  <w:style w:type="paragraph" w:styleId="735">
    <w:name w:val="Title"/>
    <w:basedOn w:val="890"/>
    <w:next w:val="890"/>
    <w:link w:val="736"/>
    <w:uiPriority w:val="10"/>
    <w:qFormat/>
    <w:pPr>
      <w:contextualSpacing/>
      <w:spacing w:before="300" w:after="200"/>
    </w:pPr>
    <w:rPr>
      <w:sz w:val="48"/>
      <w:szCs w:val="48"/>
    </w:rPr>
  </w:style>
  <w:style w:type="character" w:styleId="736">
    <w:name w:val="Title Char"/>
    <w:basedOn w:val="892"/>
    <w:link w:val="735"/>
    <w:uiPriority w:val="10"/>
    <w:rPr>
      <w:sz w:val="48"/>
      <w:szCs w:val="48"/>
    </w:rPr>
  </w:style>
  <w:style w:type="paragraph" w:styleId="737">
    <w:name w:val="Subtitle"/>
    <w:basedOn w:val="890"/>
    <w:next w:val="890"/>
    <w:link w:val="738"/>
    <w:uiPriority w:val="11"/>
    <w:qFormat/>
    <w:pPr>
      <w:spacing w:before="200" w:after="200"/>
    </w:pPr>
    <w:rPr>
      <w:sz w:val="24"/>
      <w:szCs w:val="24"/>
    </w:rPr>
  </w:style>
  <w:style w:type="character" w:styleId="738">
    <w:name w:val="Subtitle Char"/>
    <w:basedOn w:val="892"/>
    <w:link w:val="737"/>
    <w:uiPriority w:val="11"/>
    <w:rPr>
      <w:sz w:val="24"/>
      <w:szCs w:val="24"/>
    </w:rPr>
  </w:style>
  <w:style w:type="paragraph" w:styleId="739">
    <w:name w:val="Quote"/>
    <w:basedOn w:val="890"/>
    <w:next w:val="890"/>
    <w:link w:val="740"/>
    <w:uiPriority w:val="29"/>
    <w:qFormat/>
    <w:pPr>
      <w:ind w:left="720" w:right="720"/>
    </w:pPr>
    <w:rPr>
      <w:i/>
    </w:rPr>
  </w:style>
  <w:style w:type="character" w:styleId="740">
    <w:name w:val="Quote Char"/>
    <w:link w:val="739"/>
    <w:uiPriority w:val="29"/>
    <w:rPr>
      <w:i/>
    </w:rPr>
  </w:style>
  <w:style w:type="paragraph" w:styleId="741">
    <w:name w:val="Intense Quote"/>
    <w:basedOn w:val="890"/>
    <w:next w:val="890"/>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name w:val="Intense Quote Char"/>
    <w:link w:val="741"/>
    <w:uiPriority w:val="30"/>
    <w:rPr>
      <w:i/>
    </w:rPr>
  </w:style>
  <w:style w:type="character" w:styleId="743">
    <w:name w:val="Header Char"/>
    <w:basedOn w:val="892"/>
    <w:link w:val="899"/>
    <w:uiPriority w:val="99"/>
  </w:style>
  <w:style w:type="character" w:styleId="744">
    <w:name w:val="Footer Char"/>
    <w:basedOn w:val="892"/>
    <w:link w:val="898"/>
    <w:uiPriority w:val="99"/>
  </w:style>
  <w:style w:type="paragraph" w:styleId="745">
    <w:name w:val="Caption"/>
    <w:basedOn w:val="890"/>
    <w:next w:val="890"/>
    <w:uiPriority w:val="35"/>
    <w:semiHidden/>
    <w:unhideWhenUsed/>
    <w:qFormat/>
    <w:pPr>
      <w:spacing w:line="276" w:lineRule="auto"/>
    </w:pPr>
    <w:rPr>
      <w:b/>
      <w:bCs/>
      <w:color w:val="4f81bd" w:themeColor="accent1"/>
      <w:sz w:val="18"/>
      <w:szCs w:val="18"/>
    </w:rPr>
  </w:style>
  <w:style w:type="character" w:styleId="746">
    <w:name w:val="Caption Char"/>
    <w:basedOn w:val="745"/>
    <w:link w:val="898"/>
    <w:uiPriority w:val="99"/>
  </w:style>
  <w:style w:type="table" w:styleId="747">
    <w:name w:val="Table Grid Light"/>
    <w:basedOn w:val="8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8">
    <w:name w:val="Plain Table 1"/>
    <w:basedOn w:val="8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2"/>
    <w:basedOn w:val="89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3"/>
    <w:basedOn w:val="8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name w:val="Plain Table 4"/>
    <w:basedOn w:val="8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name w:val="Plain Table 5"/>
    <w:basedOn w:val="8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3">
    <w:name w:val="Grid Table 1 Light"/>
    <w:basedOn w:val="89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4">
    <w:name w:val="Grid Table 1 Light - Accent 1"/>
    <w:basedOn w:val="8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5">
    <w:name w:val="Grid Table 1 Light - Accent 2"/>
    <w:basedOn w:val="8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6">
    <w:name w:val="Grid Table 1 Light - Accent 3"/>
    <w:basedOn w:val="8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7">
    <w:name w:val="Grid Table 1 Light - Accent 4"/>
    <w:basedOn w:val="8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8">
    <w:name w:val="Grid Table 1 Light - Accent 5"/>
    <w:basedOn w:val="8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9">
    <w:name w:val="Grid Table 1 Light - Accent 6"/>
    <w:basedOn w:val="8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0">
    <w:name w:val="Grid Table 2"/>
    <w:basedOn w:val="8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1">
    <w:name w:val="Grid Table 2 - Accent 1"/>
    <w:basedOn w:val="8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2">
    <w:name w:val="Grid Table 2 - Accent 2"/>
    <w:basedOn w:val="8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3">
    <w:name w:val="Grid Table 2 - Accent 3"/>
    <w:basedOn w:val="8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4">
    <w:name w:val="Grid Table 2 - Accent 4"/>
    <w:basedOn w:val="8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5">
    <w:name w:val="Grid Table 2 - Accent 5"/>
    <w:basedOn w:val="8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6">
    <w:name w:val="Grid Table 2 - Accent 6"/>
    <w:basedOn w:val="8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7">
    <w:name w:val="Grid Table 3"/>
    <w:basedOn w:val="8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1"/>
    <w:basedOn w:val="8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2"/>
    <w:basedOn w:val="8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3"/>
    <w:basedOn w:val="8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4"/>
    <w:basedOn w:val="8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5"/>
    <w:basedOn w:val="8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6"/>
    <w:basedOn w:val="8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4"/>
    <w:basedOn w:val="89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name w:val="Grid Table 4 - Accent 1"/>
    <w:basedOn w:val="89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6">
    <w:name w:val="Grid Table 4 - Accent 2"/>
    <w:basedOn w:val="89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7">
    <w:name w:val="Grid Table 4 - Accent 3"/>
    <w:basedOn w:val="89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8">
    <w:name w:val="Grid Table 4 - Accent 4"/>
    <w:basedOn w:val="89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9">
    <w:name w:val="Grid Table 4 - Accent 5"/>
    <w:basedOn w:val="89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0">
    <w:name w:val="Grid Table 4 - Accent 6"/>
    <w:basedOn w:val="89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1">
    <w:name w:val="Grid Table 5 Dark"/>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2">
    <w:name w:val="Grid Table 5 Dark- Accent 1"/>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83">
    <w:name w:val="Grid Table 5 Dark - Accent 2"/>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84">
    <w:name w:val="Grid Table 5 Dark - Accent 3"/>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85">
    <w:name w:val="Grid Table 5 Dark- Accent 4"/>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86">
    <w:name w:val="Grid Table 5 Dark - Accent 5"/>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87">
    <w:name w:val="Grid Table 5 Dark - Accent 6"/>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88">
    <w:name w:val="Grid Table 6 Colorful"/>
    <w:basedOn w:val="89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9">
    <w:name w:val="Grid Table 6 Colorful - Accent 1"/>
    <w:basedOn w:val="89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90">
    <w:name w:val="Grid Table 6 Colorful - Accent 2"/>
    <w:basedOn w:val="8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91">
    <w:name w:val="Grid Table 6 Colorful - Accent 3"/>
    <w:basedOn w:val="89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92">
    <w:name w:val="Grid Table 6 Colorful - Accent 4"/>
    <w:basedOn w:val="8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93">
    <w:name w:val="Grid Table 6 Colorful - Accent 5"/>
    <w:basedOn w:val="89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94">
    <w:name w:val="Grid Table 6 Colorful - Accent 6"/>
    <w:basedOn w:val="89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95">
    <w:name w:val="Grid Table 7 Colorful"/>
    <w:basedOn w:val="89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6">
    <w:name w:val="Grid Table 7 Colorful - Accent 1"/>
    <w:basedOn w:val="89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7">
    <w:name w:val="Grid Table 7 Colorful - Accent 2"/>
    <w:basedOn w:val="89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8">
    <w:name w:val="Grid Table 7 Colorful - Accent 3"/>
    <w:basedOn w:val="89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9">
    <w:name w:val="Grid Table 7 Colorful - Accent 4"/>
    <w:basedOn w:val="89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0">
    <w:name w:val="Grid Table 7 Colorful - Accent 5"/>
    <w:basedOn w:val="89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1">
    <w:name w:val="Grid Table 7 Colorful - Accent 6"/>
    <w:basedOn w:val="89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2">
    <w:name w:val="List Table 1 Light"/>
    <w:basedOn w:val="89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name w:val="List Table 1 Light - Accent 1"/>
    <w:basedOn w:val="893"/>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4">
    <w:name w:val="List Table 1 Light - Accent 2"/>
    <w:basedOn w:val="893"/>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5">
    <w:name w:val="List Table 1 Light - Accent 3"/>
    <w:basedOn w:val="893"/>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6">
    <w:name w:val="List Table 1 Light - Accent 4"/>
    <w:basedOn w:val="893"/>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7">
    <w:name w:val="List Table 1 Light - Accent 5"/>
    <w:basedOn w:val="893"/>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8">
    <w:name w:val="List Table 1 Light - Accent 6"/>
    <w:basedOn w:val="893"/>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9">
    <w:name w:val="List Table 2"/>
    <w:basedOn w:val="89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0">
    <w:name w:val="List Table 2 - Accent 1"/>
    <w:basedOn w:val="89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1">
    <w:name w:val="List Table 2 - Accent 2"/>
    <w:basedOn w:val="89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2">
    <w:name w:val="List Table 2 - Accent 3"/>
    <w:basedOn w:val="89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3">
    <w:name w:val="List Table 2 - Accent 4"/>
    <w:basedOn w:val="89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4">
    <w:name w:val="List Table 2 - Accent 5"/>
    <w:basedOn w:val="89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5">
    <w:name w:val="List Table 2 - Accent 6"/>
    <w:basedOn w:val="89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6">
    <w:name w:val="List Table 3"/>
    <w:basedOn w:val="8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3 - Accent 1"/>
    <w:basedOn w:val="89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18">
    <w:name w:val="List Table 3 - Accent 2"/>
    <w:basedOn w:val="8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19">
    <w:name w:val="List Table 3 - Accent 3"/>
    <w:basedOn w:val="89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20">
    <w:name w:val="List Table 3 - Accent 4"/>
    <w:basedOn w:val="8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21">
    <w:name w:val="List Table 3 - Accent 5"/>
    <w:basedOn w:val="89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22">
    <w:name w:val="List Table 3 - Accent 6"/>
    <w:basedOn w:val="89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23">
    <w:name w:val="List Table 4"/>
    <w:basedOn w:val="8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4 - Accent 1"/>
    <w:basedOn w:val="89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25">
    <w:name w:val="List Table 4 - Accent 2"/>
    <w:basedOn w:val="89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26">
    <w:name w:val="List Table 4 - Accent 3"/>
    <w:basedOn w:val="89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27">
    <w:name w:val="List Table 4 - Accent 4"/>
    <w:basedOn w:val="89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28">
    <w:name w:val="List Table 4 - Accent 5"/>
    <w:basedOn w:val="89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29">
    <w:name w:val="List Table 4 - Accent 6"/>
    <w:basedOn w:val="89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30">
    <w:name w:val="List Table 5 Dark"/>
    <w:basedOn w:val="89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1"/>
    <w:basedOn w:val="89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2"/>
    <w:basedOn w:val="89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3"/>
    <w:basedOn w:val="89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4"/>
    <w:basedOn w:val="89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5"/>
    <w:basedOn w:val="89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6"/>
    <w:basedOn w:val="89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6 Colorful"/>
    <w:basedOn w:val="89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8">
    <w:name w:val="List Table 6 Colorful - Accent 1"/>
    <w:basedOn w:val="89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39">
    <w:name w:val="List Table 6 Colorful - Accent 2"/>
    <w:basedOn w:val="89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40">
    <w:name w:val="List Table 6 Colorful - Accent 3"/>
    <w:basedOn w:val="89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41">
    <w:name w:val="List Table 6 Colorful - Accent 4"/>
    <w:basedOn w:val="89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42">
    <w:name w:val="List Table 6 Colorful - Accent 5"/>
    <w:basedOn w:val="89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43">
    <w:name w:val="List Table 6 Colorful - Accent 6"/>
    <w:basedOn w:val="89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44">
    <w:name w:val="List Table 7 Colorful"/>
    <w:basedOn w:val="89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5">
    <w:name w:val="List Table 7 Colorful - Accent 1"/>
    <w:basedOn w:val="89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46">
    <w:name w:val="List Table 7 Colorful - Accent 2"/>
    <w:basedOn w:val="89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47">
    <w:name w:val="List Table 7 Colorful - Accent 3"/>
    <w:basedOn w:val="89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48">
    <w:name w:val="List Table 7 Colorful - Accent 4"/>
    <w:basedOn w:val="89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49">
    <w:name w:val="List Table 7 Colorful - Accent 5"/>
    <w:basedOn w:val="89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50">
    <w:name w:val="List Table 7 Colorful - Accent 6"/>
    <w:basedOn w:val="89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51">
    <w:name w:val="Lined - Accent"/>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Lined - Accent 1"/>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53">
    <w:name w:val="Lined - Accent 2"/>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54">
    <w:name w:val="Lined - Accent 3"/>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55">
    <w:name w:val="Lined - Accent 4"/>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56">
    <w:name w:val="Lined - Accent 5"/>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57">
    <w:name w:val="Lined - Accent 6"/>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58">
    <w:name w:val="Bordered &amp; Lined - Accent"/>
    <w:basedOn w:val="89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Bordered &amp; Lined - Accent 1"/>
    <w:basedOn w:val="89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60">
    <w:name w:val="Bordered &amp; Lined - Accent 2"/>
    <w:basedOn w:val="89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61">
    <w:name w:val="Bordered &amp; Lined - Accent 3"/>
    <w:basedOn w:val="89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62">
    <w:name w:val="Bordered &amp; Lined - Accent 4"/>
    <w:basedOn w:val="89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63">
    <w:name w:val="Bordered &amp; Lined - Accent 5"/>
    <w:basedOn w:val="89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64">
    <w:name w:val="Bordered &amp; Lined - Accent 6"/>
    <w:basedOn w:val="89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65">
    <w:name w:val="Bordered"/>
    <w:basedOn w:val="89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6">
    <w:name w:val="Bordered - Accent 1"/>
    <w:basedOn w:val="8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7">
    <w:name w:val="Bordered - Accent 2"/>
    <w:basedOn w:val="8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8">
    <w:name w:val="Bordered - Accent 3"/>
    <w:basedOn w:val="8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9">
    <w:name w:val="Bordered - Accent 4"/>
    <w:basedOn w:val="8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0">
    <w:name w:val="Bordered - Accent 5"/>
    <w:basedOn w:val="8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1">
    <w:name w:val="Bordered - Accent 6"/>
    <w:basedOn w:val="8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2">
    <w:name w:val="Hyperlink"/>
    <w:uiPriority w:val="99"/>
    <w:unhideWhenUsed/>
    <w:rPr>
      <w:color w:val="0000ff" w:themeColor="hyperlink"/>
      <w:u w:val="single"/>
    </w:rPr>
  </w:style>
  <w:style w:type="paragraph" w:styleId="873">
    <w:name w:val="footnote text"/>
    <w:basedOn w:val="890"/>
    <w:link w:val="874"/>
    <w:uiPriority w:val="99"/>
    <w:semiHidden/>
    <w:unhideWhenUsed/>
    <w:pPr>
      <w:spacing w:after="40" w:line="240" w:lineRule="auto"/>
    </w:pPr>
    <w:rPr>
      <w:sz w:val="18"/>
    </w:rPr>
  </w:style>
  <w:style w:type="character" w:styleId="874">
    <w:name w:val="Footnote Text Char"/>
    <w:link w:val="873"/>
    <w:uiPriority w:val="99"/>
    <w:rPr>
      <w:sz w:val="18"/>
    </w:rPr>
  </w:style>
  <w:style w:type="character" w:styleId="875">
    <w:name w:val="footnote reference"/>
    <w:basedOn w:val="892"/>
    <w:uiPriority w:val="99"/>
    <w:unhideWhenUsed/>
    <w:rPr>
      <w:vertAlign w:val="superscript"/>
    </w:rPr>
  </w:style>
  <w:style w:type="paragraph" w:styleId="876">
    <w:name w:val="endnote text"/>
    <w:basedOn w:val="890"/>
    <w:link w:val="877"/>
    <w:uiPriority w:val="99"/>
    <w:semiHidden/>
    <w:unhideWhenUsed/>
    <w:pPr>
      <w:spacing w:after="0" w:line="240" w:lineRule="auto"/>
    </w:pPr>
    <w:rPr>
      <w:sz w:val="20"/>
    </w:rPr>
  </w:style>
  <w:style w:type="character" w:styleId="877">
    <w:name w:val="Endnote Text Char"/>
    <w:link w:val="876"/>
    <w:uiPriority w:val="99"/>
    <w:rPr>
      <w:sz w:val="20"/>
    </w:rPr>
  </w:style>
  <w:style w:type="character" w:styleId="878">
    <w:name w:val="endnote reference"/>
    <w:basedOn w:val="892"/>
    <w:uiPriority w:val="99"/>
    <w:semiHidden/>
    <w:unhideWhenUsed/>
    <w:rPr>
      <w:vertAlign w:val="superscript"/>
    </w:rPr>
  </w:style>
  <w:style w:type="paragraph" w:styleId="879">
    <w:name w:val="toc 1"/>
    <w:basedOn w:val="890"/>
    <w:next w:val="890"/>
    <w:uiPriority w:val="39"/>
    <w:unhideWhenUsed/>
    <w:pPr>
      <w:ind w:left="0" w:right="0" w:firstLine="0"/>
      <w:spacing w:after="57"/>
    </w:pPr>
  </w:style>
  <w:style w:type="paragraph" w:styleId="880">
    <w:name w:val="toc 2"/>
    <w:basedOn w:val="890"/>
    <w:next w:val="890"/>
    <w:uiPriority w:val="39"/>
    <w:unhideWhenUsed/>
    <w:pPr>
      <w:ind w:left="283" w:right="0" w:firstLine="0"/>
      <w:spacing w:after="57"/>
    </w:pPr>
  </w:style>
  <w:style w:type="paragraph" w:styleId="881">
    <w:name w:val="toc 3"/>
    <w:basedOn w:val="890"/>
    <w:next w:val="890"/>
    <w:uiPriority w:val="39"/>
    <w:unhideWhenUsed/>
    <w:pPr>
      <w:ind w:left="567" w:right="0" w:firstLine="0"/>
      <w:spacing w:after="57"/>
    </w:pPr>
  </w:style>
  <w:style w:type="paragraph" w:styleId="882">
    <w:name w:val="toc 4"/>
    <w:basedOn w:val="890"/>
    <w:next w:val="890"/>
    <w:uiPriority w:val="39"/>
    <w:unhideWhenUsed/>
    <w:pPr>
      <w:ind w:left="850" w:right="0" w:firstLine="0"/>
      <w:spacing w:after="57"/>
    </w:pPr>
  </w:style>
  <w:style w:type="paragraph" w:styleId="883">
    <w:name w:val="toc 5"/>
    <w:basedOn w:val="890"/>
    <w:next w:val="890"/>
    <w:uiPriority w:val="39"/>
    <w:unhideWhenUsed/>
    <w:pPr>
      <w:ind w:left="1134" w:right="0" w:firstLine="0"/>
      <w:spacing w:after="57"/>
    </w:pPr>
  </w:style>
  <w:style w:type="paragraph" w:styleId="884">
    <w:name w:val="toc 6"/>
    <w:basedOn w:val="890"/>
    <w:next w:val="890"/>
    <w:uiPriority w:val="39"/>
    <w:unhideWhenUsed/>
    <w:pPr>
      <w:ind w:left="1417" w:right="0" w:firstLine="0"/>
      <w:spacing w:after="57"/>
    </w:pPr>
  </w:style>
  <w:style w:type="paragraph" w:styleId="885">
    <w:name w:val="toc 7"/>
    <w:basedOn w:val="890"/>
    <w:next w:val="890"/>
    <w:uiPriority w:val="39"/>
    <w:unhideWhenUsed/>
    <w:pPr>
      <w:ind w:left="1701" w:right="0" w:firstLine="0"/>
      <w:spacing w:after="57"/>
    </w:pPr>
  </w:style>
  <w:style w:type="paragraph" w:styleId="886">
    <w:name w:val="toc 8"/>
    <w:basedOn w:val="890"/>
    <w:next w:val="890"/>
    <w:uiPriority w:val="39"/>
    <w:unhideWhenUsed/>
    <w:pPr>
      <w:ind w:left="1984" w:right="0" w:firstLine="0"/>
      <w:spacing w:after="57"/>
    </w:pPr>
  </w:style>
  <w:style w:type="paragraph" w:styleId="887">
    <w:name w:val="toc 9"/>
    <w:basedOn w:val="890"/>
    <w:next w:val="890"/>
    <w:uiPriority w:val="39"/>
    <w:unhideWhenUsed/>
    <w:pPr>
      <w:ind w:left="2268" w:right="0" w:firstLine="0"/>
      <w:spacing w:after="57"/>
    </w:pPr>
  </w:style>
  <w:style w:type="paragraph" w:styleId="888">
    <w:name w:val="TOC Heading"/>
    <w:uiPriority w:val="39"/>
    <w:unhideWhenUsed/>
  </w:style>
  <w:style w:type="paragraph" w:styleId="889">
    <w:name w:val="table of figures"/>
    <w:basedOn w:val="890"/>
    <w:next w:val="890"/>
    <w:uiPriority w:val="99"/>
    <w:unhideWhenUsed/>
    <w:pPr>
      <w:spacing w:after="0" w:afterAutospacing="0"/>
    </w:pPr>
  </w:style>
  <w:style w:type="paragraph" w:styleId="890"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891">
    <w:name w:val="Heading 2"/>
    <w:basedOn w:val="890"/>
    <w:next w:val="894"/>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892" w:default="1">
    <w:name w:val="Default Paragraph Font"/>
    <w:uiPriority w:val="0"/>
    <w:semiHidden/>
    <w:qFormat/>
  </w:style>
  <w:style w:type="table" w:styleId="893" w:default="1">
    <w:name w:val="Normal Table"/>
    <w:uiPriority w:val="0"/>
    <w:semiHidden/>
    <w:qFormat/>
    <w:tblPr>
      <w:tblCellMar>
        <w:left w:w="108" w:type="dxa"/>
        <w:top w:w="0" w:type="dxa"/>
        <w:right w:w="108" w:type="dxa"/>
        <w:bottom w:w="0" w:type="dxa"/>
      </w:tblCellMar>
    </w:tblPr>
  </w:style>
  <w:style w:type="paragraph" w:styleId="894">
    <w:name w:val="Normal Indent"/>
    <w:basedOn w:val="890"/>
    <w:uiPriority w:val="0"/>
    <w:qFormat/>
    <w:pPr>
      <w:ind w:firstLine="420"/>
    </w:pPr>
    <w:rPr>
      <w:szCs w:val="21"/>
    </w:rPr>
  </w:style>
  <w:style w:type="paragraph" w:styleId="895">
    <w:name w:val="Body Text"/>
    <w:basedOn w:val="890"/>
    <w:uiPriority w:val="0"/>
    <w:qFormat/>
    <w:rPr>
      <w:rFonts w:ascii="楷体_GB2312" w:hAnsi="Arial" w:eastAsia="楷体_GB2312" w:cs="Times New Roman"/>
      <w:sz w:val="28"/>
      <w:szCs w:val="28"/>
    </w:rPr>
  </w:style>
  <w:style w:type="paragraph" w:styleId="896">
    <w:name w:val="Body Text Indent"/>
    <w:basedOn w:val="890"/>
    <w:uiPriority w:val="0"/>
    <w:unhideWhenUsed/>
    <w:qFormat/>
    <w:pPr>
      <w:ind w:left="420"/>
      <w:spacing w:after="120"/>
    </w:pPr>
  </w:style>
  <w:style w:type="paragraph" w:styleId="897">
    <w:name w:val="Plain Text"/>
    <w:basedOn w:val="890"/>
    <w:uiPriority w:val="0"/>
    <w:qFormat/>
    <w:rPr>
      <w:rFonts w:ascii="宋体" w:hAnsi="Courier New" w:eastAsia="宋体" w:cs="Courier New"/>
      <w:szCs w:val="21"/>
    </w:rPr>
  </w:style>
  <w:style w:type="paragraph" w:styleId="898">
    <w:name w:val="Footer"/>
    <w:basedOn w:val="890"/>
    <w:uiPriority w:val="99"/>
    <w:qFormat/>
    <w:pPr>
      <w:jc w:val="left"/>
      <w:tabs>
        <w:tab w:val="center" w:pos="4153" w:leader="none"/>
        <w:tab w:val="right" w:pos="8306" w:leader="none"/>
      </w:tabs>
    </w:pPr>
    <w:rPr>
      <w:rFonts w:ascii="Times New Roman" w:hAnsi="Times New Roman" w:eastAsia="宋体" w:cs="Times New Roman"/>
      <w:sz w:val="18"/>
      <w:szCs w:val="18"/>
    </w:rPr>
  </w:style>
  <w:style w:type="paragraph" w:styleId="899">
    <w:name w:val="Header"/>
    <w:basedOn w:val="890"/>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900">
    <w:name w:val="Normal (Web)"/>
    <w:basedOn w:val="890"/>
    <w:uiPriority w:val="99"/>
    <w:qFormat/>
    <w:pPr>
      <w:jc w:val="left"/>
      <w:spacing w:before="100" w:beforeAutospacing="1" w:after="100" w:afterAutospacing="1"/>
      <w:widowControl/>
    </w:pPr>
    <w:rPr>
      <w:rFonts w:ascii="宋体" w:hAnsi="宋体" w:eastAsia="宋体" w:cs="宋体"/>
      <w:sz w:val="24"/>
      <w:szCs w:val="24"/>
    </w:rPr>
  </w:style>
  <w:style w:type="table" w:styleId="901">
    <w:name w:val="Table Grid"/>
    <w:basedOn w:val="893"/>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2">
    <w:name w:val="page number"/>
    <w:uiPriority w:val="0"/>
    <w:qFormat/>
  </w:style>
  <w:style w:type="character" w:styleId="903">
    <w:name w:val="Emphasis"/>
    <w:uiPriority w:val="0"/>
    <w:qFormat/>
    <w:rPr>
      <w:i/>
    </w:rPr>
  </w:style>
  <w:style w:type="paragraph" w:styleId="90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05" w:customStyle="1">
    <w:name w:val="列出段落1"/>
    <w:basedOn w:val="890"/>
    <w:uiPriority w:val="0"/>
    <w:qFormat/>
    <w:pPr>
      <w:contextualSpacing/>
      <w:ind w:left="720"/>
      <w:jc w:val="left"/>
      <w:widowControl/>
    </w:pPr>
    <w:rPr>
      <w:rFonts w:ascii="Calibri" w:hAnsi="Calibri"/>
      <w:sz w:val="24"/>
      <w:szCs w:val="24"/>
      <w:lang w:eastAsia="en-US" w:bidi="en-US"/>
    </w:rPr>
  </w:style>
  <w:style w:type="paragraph" w:styleId="906" w:customStyle="1">
    <w:name w:val="普通正文"/>
    <w:basedOn w:val="890"/>
    <w:uiPriority w:val="0"/>
    <w:qFormat/>
    <w:pPr>
      <w:ind w:firstLine="480"/>
      <w:jc w:val="left"/>
      <w:spacing w:before="120" w:after="120" w:line="360" w:lineRule="auto"/>
    </w:pPr>
    <w:rPr>
      <w:rFonts w:ascii="Arial" w:hAnsi="Arial" w:eastAsia="宋体" w:cs="Times New Roman"/>
      <w:sz w:val="24"/>
      <w:szCs w:val="24"/>
    </w:rPr>
  </w:style>
  <w:style w:type="paragraph" w:styleId="907" w:customStyle="1">
    <w:name w:val="Table Text"/>
    <w:basedOn w:val="890"/>
    <w:uiPriority w:val="0"/>
    <w:semiHidden/>
    <w:qFormat/>
    <w:rPr>
      <w:rFonts w:ascii="宋体" w:hAnsi="宋体" w:eastAsia="宋体" w:cs="宋体"/>
      <w:sz w:val="24"/>
      <w:szCs w:val="24"/>
    </w:rPr>
  </w:style>
  <w:style w:type="table" w:styleId="908" w:customStyle="1">
    <w:name w:val="Table Normal"/>
    <w:uiPriority w:val="0"/>
    <w:unhideWhenUsed/>
    <w:qFormat/>
    <w:tblPr>
      <w:tblCellMar>
        <w:left w:w="0" w:type="dxa"/>
        <w:top w:w="0" w:type="dxa"/>
        <w:right w:w="0" w:type="dxa"/>
        <w:bottom w:w="0" w:type="dxa"/>
      </w:tblCellMar>
    </w:tblPr>
  </w:style>
  <w:style w:type="numbering" w:styleId="9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盐盐有鱼</dc:creator>
  <cp:lastModifiedBy>罗月</cp:lastModifiedBy>
  <cp:revision>4</cp:revision>
  <dcterms:created xsi:type="dcterms:W3CDTF">2026-01-06T08:25:00Z</dcterms:created>
  <dcterms:modified xsi:type="dcterms:W3CDTF">2026-01-06T09:29:35Z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79D95610CF49403A9E7C0A28EF086440_11</vt:lpwstr>
  </property>
  <property fmtid="{D5CDD505-2E9C-101B-9397-08002B2CF9AE}" pid="4" name="KSOTemplateDocerSaveRecord">
    <vt:lpwstr>eyJoZGlkIjoiNGQyY2RhNTczYWYyOGQyMTVmZjQwMjZkY2VjODc4MGMiLCJ1c2VySWQiOiI1MDMzNTA2ODIifQ==</vt:lpwstr>
  </property>
</Properties>
</file>